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32" w:rsidRPr="00723325" w:rsidRDefault="00A1416C" w:rsidP="007233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6"/>
          <w:szCs w:val="16"/>
        </w:rPr>
      </w:pPr>
      <w:r w:rsidRPr="00723325">
        <w:rPr>
          <w:rFonts w:cs="Times New Roman"/>
          <w:b/>
          <w:sz w:val="16"/>
          <w:szCs w:val="16"/>
        </w:rPr>
        <w:t>УДК:</w:t>
      </w:r>
      <w:r w:rsidR="003D6174" w:rsidRPr="00723325">
        <w:rPr>
          <w:rFonts w:cs="Times New Roman"/>
          <w:b/>
          <w:sz w:val="16"/>
          <w:szCs w:val="16"/>
        </w:rPr>
        <w:t xml:space="preserve"> 616.379.-008.9-056.7</w:t>
      </w:r>
    </w:p>
    <w:p w:rsidR="005A3328" w:rsidRPr="00723325" w:rsidRDefault="005A3328" w:rsidP="007233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6"/>
          <w:szCs w:val="16"/>
        </w:rPr>
      </w:pPr>
    </w:p>
    <w:p w:rsidR="005A3328" w:rsidRPr="00723325" w:rsidRDefault="00150BFC" w:rsidP="007233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6"/>
          <w:szCs w:val="16"/>
        </w:rPr>
      </w:pPr>
      <w:r w:rsidRPr="00723325">
        <w:rPr>
          <w:rFonts w:cs="Times New Roman"/>
          <w:b/>
          <w:color w:val="000000"/>
          <w:sz w:val="16"/>
          <w:szCs w:val="16"/>
        </w:rPr>
        <w:t xml:space="preserve">ЛЕЧЕНИЕ </w:t>
      </w:r>
      <w:r w:rsidR="00D91937" w:rsidRPr="00723325">
        <w:rPr>
          <w:rFonts w:cs="Times New Roman"/>
          <w:b/>
          <w:color w:val="000000"/>
          <w:sz w:val="16"/>
          <w:szCs w:val="16"/>
        </w:rPr>
        <w:t xml:space="preserve">МЕТАБОЛИЧЕСКОГО СИНДРОМА </w:t>
      </w:r>
    </w:p>
    <w:p w:rsidR="003D6174" w:rsidRPr="00723325" w:rsidRDefault="00D91937" w:rsidP="007233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6"/>
          <w:szCs w:val="16"/>
        </w:rPr>
      </w:pPr>
      <w:r w:rsidRPr="00723325">
        <w:rPr>
          <w:rFonts w:cs="Times New Roman"/>
          <w:b/>
          <w:color w:val="000000"/>
          <w:sz w:val="16"/>
          <w:szCs w:val="16"/>
        </w:rPr>
        <w:t xml:space="preserve">ПРИ </w:t>
      </w:r>
      <w:r w:rsidR="003D6174" w:rsidRPr="00723325">
        <w:rPr>
          <w:rFonts w:cs="Times New Roman"/>
          <w:b/>
          <w:color w:val="000000"/>
          <w:sz w:val="16"/>
          <w:szCs w:val="16"/>
        </w:rPr>
        <w:t>ИШЕМИЧЕСКОЙ БОЛЕЗНИ</w:t>
      </w:r>
      <w:r w:rsidR="00150BFC" w:rsidRPr="00723325">
        <w:rPr>
          <w:rFonts w:cs="Times New Roman"/>
          <w:b/>
          <w:color w:val="000000"/>
          <w:sz w:val="16"/>
          <w:szCs w:val="16"/>
        </w:rPr>
        <w:t xml:space="preserve"> </w:t>
      </w:r>
      <w:r w:rsidR="003D6174" w:rsidRPr="00723325">
        <w:rPr>
          <w:rFonts w:cs="Times New Roman"/>
          <w:b/>
          <w:color w:val="000000"/>
          <w:sz w:val="16"/>
          <w:szCs w:val="16"/>
        </w:rPr>
        <w:t xml:space="preserve">СЕРДЦА </w:t>
      </w:r>
    </w:p>
    <w:p w:rsidR="00C93990" w:rsidRPr="00723325" w:rsidRDefault="00C93990" w:rsidP="00723325">
      <w:pPr>
        <w:pStyle w:val="21"/>
        <w:widowControl w:val="0"/>
        <w:jc w:val="center"/>
        <w:rPr>
          <w:rFonts w:asciiTheme="minorHAnsi" w:hAnsiTheme="minorHAnsi"/>
          <w:sz w:val="16"/>
          <w:szCs w:val="16"/>
        </w:rPr>
      </w:pPr>
      <w:proofErr w:type="spellStart"/>
      <w:r w:rsidRPr="00723325">
        <w:rPr>
          <w:rFonts w:asciiTheme="minorHAnsi" w:hAnsiTheme="minorHAnsi"/>
          <w:sz w:val="16"/>
          <w:szCs w:val="16"/>
        </w:rPr>
        <w:t>Аубакирова</w:t>
      </w:r>
      <w:proofErr w:type="spellEnd"/>
      <w:r w:rsidRPr="00723325">
        <w:rPr>
          <w:rFonts w:asciiTheme="minorHAnsi" w:hAnsiTheme="minorHAnsi"/>
          <w:sz w:val="16"/>
          <w:szCs w:val="16"/>
        </w:rPr>
        <w:t xml:space="preserve"> Б.К.</w:t>
      </w:r>
    </w:p>
    <w:p w:rsidR="00C93990" w:rsidRPr="00723325" w:rsidRDefault="00C93990" w:rsidP="00723325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723325">
        <w:rPr>
          <w:rFonts w:cs="Times New Roman"/>
          <w:b/>
          <w:sz w:val="16"/>
          <w:szCs w:val="16"/>
        </w:rPr>
        <w:t xml:space="preserve">Городской кардиологический центр </w:t>
      </w:r>
      <w:proofErr w:type="gramStart"/>
      <w:r w:rsidRPr="00723325">
        <w:rPr>
          <w:rFonts w:cs="Times New Roman"/>
          <w:b/>
          <w:sz w:val="16"/>
          <w:szCs w:val="16"/>
        </w:rPr>
        <w:t>г</w:t>
      </w:r>
      <w:proofErr w:type="gramEnd"/>
      <w:r w:rsidRPr="00723325">
        <w:rPr>
          <w:rFonts w:cs="Times New Roman"/>
          <w:b/>
          <w:sz w:val="16"/>
          <w:szCs w:val="16"/>
        </w:rPr>
        <w:t xml:space="preserve">. </w:t>
      </w:r>
      <w:proofErr w:type="spellStart"/>
      <w:r w:rsidRPr="00723325">
        <w:rPr>
          <w:rFonts w:cs="Times New Roman"/>
          <w:b/>
          <w:sz w:val="16"/>
          <w:szCs w:val="16"/>
        </w:rPr>
        <w:t>Алматы</w:t>
      </w:r>
      <w:proofErr w:type="spellEnd"/>
    </w:p>
    <w:p w:rsidR="005A3328" w:rsidRPr="00723325" w:rsidRDefault="005A3328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iCs/>
          <w:sz w:val="16"/>
          <w:szCs w:val="16"/>
        </w:rPr>
        <w:t xml:space="preserve">В статье представлена эффективность </w:t>
      </w:r>
      <w:r w:rsidRPr="00723325">
        <w:rPr>
          <w:rFonts w:cs="Times New Roman"/>
          <w:sz w:val="16"/>
          <w:szCs w:val="16"/>
        </w:rPr>
        <w:t xml:space="preserve">длительной терапии препаратом </w:t>
      </w:r>
      <w:proofErr w:type="spellStart"/>
      <w:r w:rsidRPr="00723325">
        <w:rPr>
          <w:rFonts w:cs="Times New Roman"/>
          <w:sz w:val="16"/>
          <w:szCs w:val="16"/>
        </w:rPr>
        <w:t>ловастатин</w:t>
      </w:r>
      <w:proofErr w:type="spellEnd"/>
      <w:r w:rsidRPr="00723325">
        <w:rPr>
          <w:rFonts w:cs="Times New Roman"/>
          <w:sz w:val="16"/>
          <w:szCs w:val="16"/>
        </w:rPr>
        <w:t xml:space="preserve"> (в течение 6 месяцев) на показатели липидного обмена и клиническое течение сопутствующей ишемической болезни сердца у пациентов с метаболическим синдромом.  </w:t>
      </w:r>
      <w:r w:rsidRPr="00723325">
        <w:rPr>
          <w:rFonts w:cs="Times New Roman"/>
          <w:color w:val="000000"/>
          <w:sz w:val="16"/>
          <w:szCs w:val="16"/>
        </w:rPr>
        <w:t xml:space="preserve">Под наблюдением находились 47 больных </w:t>
      </w:r>
      <w:r w:rsidRPr="00723325">
        <w:rPr>
          <w:rFonts w:cs="Times New Roman"/>
          <w:sz w:val="16"/>
          <w:szCs w:val="16"/>
        </w:rPr>
        <w:t>ишемической болезни сердца</w:t>
      </w:r>
      <w:r w:rsidRPr="00723325">
        <w:rPr>
          <w:rFonts w:cs="Times New Roman"/>
          <w:color w:val="000000"/>
          <w:sz w:val="16"/>
          <w:szCs w:val="16"/>
        </w:rPr>
        <w:t xml:space="preserve"> со стабильной стенокардией напряжения, функциональный класс </w:t>
      </w:r>
      <w:r w:rsidRPr="00723325">
        <w:rPr>
          <w:rFonts w:cs="Times New Roman"/>
          <w:iCs/>
          <w:sz w:val="16"/>
          <w:szCs w:val="16"/>
        </w:rPr>
        <w:t xml:space="preserve">ІІ-ІІІ и метаболическим синдромом. </w:t>
      </w:r>
      <w:r w:rsidRPr="00723325">
        <w:rPr>
          <w:rFonts w:cs="Times New Roman"/>
          <w:color w:val="000000"/>
          <w:sz w:val="16"/>
          <w:szCs w:val="16"/>
        </w:rPr>
        <w:t xml:space="preserve">Проведенное исследование показало, что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улучшил коронарный кровоток у больных </w:t>
      </w:r>
      <w:r w:rsidRPr="00723325">
        <w:rPr>
          <w:rFonts w:cs="Times New Roman"/>
          <w:sz w:val="16"/>
          <w:szCs w:val="16"/>
        </w:rPr>
        <w:t>ишемической болезни сердца</w:t>
      </w:r>
      <w:r w:rsidRPr="00723325">
        <w:rPr>
          <w:rFonts w:cs="Times New Roman"/>
          <w:color w:val="000000"/>
          <w:sz w:val="16"/>
          <w:szCs w:val="16"/>
        </w:rPr>
        <w:t xml:space="preserve"> с метаболическим синдромом.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Антиишемический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эффект препарата определен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гиполипидемическим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эндотелийпротекторным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эффектами.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не вызывает побочные эффекты. </w:t>
      </w: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723325">
        <w:rPr>
          <w:rFonts w:cs="Times New Roman"/>
          <w:b/>
          <w:sz w:val="16"/>
          <w:szCs w:val="16"/>
        </w:rPr>
        <w:t>Ключевые слова:</w:t>
      </w:r>
      <w:r w:rsidRPr="00723325">
        <w:rPr>
          <w:rFonts w:cs="Times New Roman"/>
          <w:sz w:val="16"/>
          <w:szCs w:val="16"/>
        </w:rPr>
        <w:t xml:space="preserve"> метаболический синдром, ишемическая болезнь сердца, </w:t>
      </w:r>
      <w:proofErr w:type="spellStart"/>
      <w:r w:rsidRPr="00723325">
        <w:rPr>
          <w:rFonts w:cs="Times New Roman"/>
          <w:sz w:val="16"/>
          <w:szCs w:val="16"/>
        </w:rPr>
        <w:t>ловастатин</w:t>
      </w:r>
      <w:proofErr w:type="spellEnd"/>
      <w:r w:rsidRPr="00723325">
        <w:rPr>
          <w:rFonts w:cs="Times New Roman"/>
          <w:sz w:val="16"/>
          <w:szCs w:val="16"/>
        </w:rPr>
        <w:t>.</w:t>
      </w:r>
    </w:p>
    <w:p w:rsidR="00723325" w:rsidRPr="00723325" w:rsidRDefault="00723325" w:rsidP="00723325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16"/>
          <w:szCs w:val="16"/>
          <w:lang w:val="en-US"/>
        </w:rPr>
      </w:pPr>
      <w:r w:rsidRPr="00723325">
        <w:rPr>
          <w:rFonts w:cs="Times New Roman"/>
          <w:b/>
          <w:color w:val="000000"/>
          <w:sz w:val="16"/>
          <w:szCs w:val="16"/>
          <w:lang w:val="en-US"/>
        </w:rPr>
        <w:t xml:space="preserve">THERAPY OF THE </w:t>
      </w:r>
      <w:r w:rsidRPr="00723325">
        <w:rPr>
          <w:rFonts w:cs="Times New Roman"/>
          <w:b/>
          <w:iCs/>
          <w:sz w:val="16"/>
          <w:szCs w:val="16"/>
          <w:lang w:val="en-US"/>
        </w:rPr>
        <w:t>METABOLIC SYNDROME AT ISCHAEMIC HEART DISEASE</w:t>
      </w:r>
      <w:r w:rsidRPr="00723325">
        <w:rPr>
          <w:rFonts w:cs="Times New Roman"/>
          <w:iCs/>
          <w:sz w:val="16"/>
          <w:szCs w:val="16"/>
          <w:lang w:val="en-US"/>
        </w:rPr>
        <w:t xml:space="preserve"> </w:t>
      </w: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Aubakirova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B. K.</w:t>
      </w:r>
    </w:p>
    <w:p w:rsidR="00723325" w:rsidRPr="00723325" w:rsidRDefault="00723325" w:rsidP="00723325">
      <w:pPr>
        <w:pStyle w:val="23"/>
        <w:spacing w:after="0" w:line="240" w:lineRule="auto"/>
        <w:ind w:left="0"/>
        <w:jc w:val="both"/>
        <w:rPr>
          <w:rFonts w:cs="Times New Roman"/>
          <w:iCs/>
          <w:sz w:val="16"/>
          <w:szCs w:val="16"/>
          <w:lang w:val="en-US"/>
        </w:rPr>
      </w:pPr>
      <w:r w:rsidRPr="00723325">
        <w:rPr>
          <w:rFonts w:cs="Times New Roman"/>
          <w:b/>
          <w:iCs/>
          <w:sz w:val="16"/>
          <w:szCs w:val="16"/>
          <w:lang w:val="en-US"/>
        </w:rPr>
        <w:t xml:space="preserve">Abstract </w:t>
      </w:r>
      <w:r w:rsidRPr="00723325">
        <w:rPr>
          <w:rFonts w:cs="Times New Roman"/>
          <w:iCs/>
          <w:sz w:val="16"/>
          <w:szCs w:val="16"/>
          <w:lang w:val="en-US"/>
        </w:rPr>
        <w:t xml:space="preserve">The paper presents the effects of long-term (during 6 month) treatment with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lovastatin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on plasma lipids composition clinical course of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ischaemic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heart disease (IHD) in patients with chronic heart failure and metabolic syndrome (MS). Forty seven IHD patients with stable angina pectoris, functional class </w:t>
      </w:r>
      <w:r w:rsidRPr="00723325">
        <w:rPr>
          <w:rFonts w:cs="Times New Roman"/>
          <w:iCs/>
          <w:sz w:val="16"/>
          <w:szCs w:val="16"/>
        </w:rPr>
        <w:t>ІІ</w:t>
      </w:r>
      <w:r w:rsidRPr="00723325">
        <w:rPr>
          <w:rFonts w:cs="Times New Roman"/>
          <w:iCs/>
          <w:sz w:val="16"/>
          <w:szCs w:val="16"/>
          <w:lang w:val="en-US"/>
        </w:rPr>
        <w:t>-</w:t>
      </w:r>
      <w:r w:rsidRPr="00723325">
        <w:rPr>
          <w:rFonts w:cs="Times New Roman"/>
          <w:iCs/>
          <w:sz w:val="16"/>
          <w:szCs w:val="16"/>
        </w:rPr>
        <w:t>ІІІ</w:t>
      </w:r>
      <w:r w:rsidRPr="00723325">
        <w:rPr>
          <w:rFonts w:cs="Times New Roman"/>
          <w:iCs/>
          <w:sz w:val="16"/>
          <w:szCs w:val="16"/>
          <w:lang w:val="en-US"/>
        </w:rPr>
        <w:t xml:space="preserve">, and MS, were investigated. The results obtained show that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lovastatin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improved the coronary flow in people with IHD and MS. The anti-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ischaemic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effect of drug was determined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hypolipidemic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effect and protective influence of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lovastatin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on state of endothelium.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Lovastatin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has not harmful supplementary effects. </w:t>
      </w: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16"/>
          <w:szCs w:val="16"/>
          <w:lang w:val="en-US"/>
        </w:rPr>
      </w:pPr>
      <w:r>
        <w:rPr>
          <w:rFonts w:cs="Times New Roman"/>
          <w:b/>
          <w:sz w:val="16"/>
          <w:szCs w:val="16"/>
          <w:lang w:val="en-US"/>
        </w:rPr>
        <w:t>Key words</w:t>
      </w:r>
      <w:r w:rsidRPr="00723325">
        <w:rPr>
          <w:rFonts w:cs="Times New Roman"/>
          <w:b/>
          <w:sz w:val="16"/>
          <w:szCs w:val="16"/>
          <w:lang w:val="en-US"/>
        </w:rPr>
        <w:t xml:space="preserve"> </w:t>
      </w:r>
      <w:r w:rsidRPr="00723325">
        <w:rPr>
          <w:rFonts w:cs="Times New Roman"/>
          <w:iCs/>
          <w:sz w:val="16"/>
          <w:szCs w:val="16"/>
          <w:lang w:val="en-US"/>
        </w:rPr>
        <w:t xml:space="preserve">metabolic syndrome,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ischaemic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 xml:space="preserve"> heart disease, </w:t>
      </w:r>
      <w:proofErr w:type="spellStart"/>
      <w:r w:rsidRPr="00723325">
        <w:rPr>
          <w:rFonts w:cs="Times New Roman"/>
          <w:iCs/>
          <w:sz w:val="16"/>
          <w:szCs w:val="16"/>
          <w:lang w:val="en-US"/>
        </w:rPr>
        <w:t>lovastatin</w:t>
      </w:r>
      <w:proofErr w:type="spellEnd"/>
      <w:r w:rsidRPr="00723325">
        <w:rPr>
          <w:rFonts w:cs="Times New Roman"/>
          <w:iCs/>
          <w:sz w:val="16"/>
          <w:szCs w:val="16"/>
          <w:lang w:val="en-US"/>
        </w:rPr>
        <w:t>.</w:t>
      </w: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6"/>
          <w:szCs w:val="16"/>
          <w:lang w:val="kk-KZ"/>
        </w:rPr>
      </w:pPr>
    </w:p>
    <w:p w:rsidR="00723325" w:rsidRPr="00723325" w:rsidRDefault="00723325" w:rsidP="00723325">
      <w:pPr>
        <w:spacing w:after="0" w:line="240" w:lineRule="auto"/>
        <w:jc w:val="both"/>
        <w:rPr>
          <w:rFonts w:cs="Times New Roman"/>
          <w:b/>
          <w:sz w:val="16"/>
          <w:szCs w:val="16"/>
          <w:lang w:val="kk-KZ"/>
        </w:rPr>
      </w:pPr>
      <w:r w:rsidRPr="00723325">
        <w:rPr>
          <w:rFonts w:cs="Times New Roman"/>
          <w:b/>
          <w:sz w:val="16"/>
          <w:szCs w:val="16"/>
          <w:lang w:val="kk-KZ"/>
        </w:rPr>
        <w:t>Ж</w:t>
      </w:r>
      <w:r w:rsidRPr="00723325">
        <w:rPr>
          <w:rFonts w:ascii="Times New Roman" w:hAnsi="Times New Roman" w:cs="Times New Roman"/>
          <w:b/>
          <w:sz w:val="16"/>
          <w:szCs w:val="16"/>
          <w:lang w:val="kk-KZ"/>
        </w:rPr>
        <w:t>Ү</w:t>
      </w:r>
      <w:r w:rsidRPr="00723325">
        <w:rPr>
          <w:rFonts w:cs="Times New Roman"/>
          <w:b/>
          <w:sz w:val="16"/>
          <w:szCs w:val="16"/>
          <w:lang w:val="kk-KZ"/>
        </w:rPr>
        <w:t>РЕКТI</w:t>
      </w:r>
      <w:r w:rsidRPr="00723325">
        <w:rPr>
          <w:rFonts w:ascii="Times New Roman" w:hAnsi="Times New Roman" w:cs="Times New Roman"/>
          <w:b/>
          <w:sz w:val="16"/>
          <w:szCs w:val="16"/>
          <w:lang w:val="kk-KZ"/>
        </w:rPr>
        <w:t>Ң</w:t>
      </w:r>
      <w:r w:rsidRPr="00723325">
        <w:rPr>
          <w:rFonts w:cs="Times New Roman"/>
          <w:b/>
          <w:sz w:val="16"/>
          <w:szCs w:val="16"/>
          <w:lang w:val="kk-KZ"/>
        </w:rPr>
        <w:t xml:space="preserve"> ИШЕМИЯ АУРУЫН БАР МЕТАБОЛИЯЛЫ</w:t>
      </w:r>
      <w:r w:rsidRPr="00723325">
        <w:rPr>
          <w:rFonts w:ascii="Times New Roman" w:hAnsi="Times New Roman" w:cs="Times New Roman"/>
          <w:b/>
          <w:sz w:val="16"/>
          <w:szCs w:val="16"/>
          <w:lang w:val="kk-KZ"/>
        </w:rPr>
        <w:t>Қ</w:t>
      </w:r>
      <w:r w:rsidRPr="00723325">
        <w:rPr>
          <w:rFonts w:cs="Times New Roman"/>
          <w:b/>
          <w:sz w:val="16"/>
          <w:szCs w:val="16"/>
          <w:lang w:val="kk-KZ"/>
        </w:rPr>
        <w:t xml:space="preserve"> СИНДРОМЫ ТИIМДI ТЕРАПИЯ</w:t>
      </w:r>
    </w:p>
    <w:p w:rsidR="00723325" w:rsidRPr="00723325" w:rsidRDefault="00723325" w:rsidP="00723325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723325">
        <w:rPr>
          <w:rFonts w:cs="Times New Roman"/>
          <w:sz w:val="16"/>
          <w:szCs w:val="16"/>
          <w:lang w:val="kk-KZ"/>
        </w:rPr>
        <w:t>Аубакирова Б.К.</w:t>
      </w:r>
    </w:p>
    <w:p w:rsidR="00723325" w:rsidRPr="00723325" w:rsidRDefault="00723325" w:rsidP="00723325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723325">
        <w:rPr>
          <w:rFonts w:cs="Times New Roman"/>
          <w:sz w:val="16"/>
          <w:szCs w:val="16"/>
          <w:lang w:val="kk-KZ"/>
        </w:rPr>
        <w:t>Бапта липид айырбасыны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к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723325">
        <w:rPr>
          <w:rFonts w:cs="Times New Roman"/>
          <w:sz w:val="16"/>
          <w:szCs w:val="16"/>
          <w:lang w:val="kk-KZ"/>
        </w:rPr>
        <w:t>рсеткiштерi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723325">
        <w:rPr>
          <w:rFonts w:cs="Times New Roman"/>
          <w:sz w:val="16"/>
          <w:szCs w:val="16"/>
          <w:lang w:val="kk-KZ"/>
        </w:rPr>
        <w:t>не метаболиялы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синдромы бар емделушiлердi</w:t>
      </w:r>
      <w:r w:rsidRPr="00723325">
        <w:rPr>
          <w:rFonts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723325">
        <w:rPr>
          <w:rFonts w:cs="Times New Roman"/>
          <w:sz w:val="16"/>
          <w:szCs w:val="16"/>
          <w:lang w:val="kk-KZ"/>
        </w:rPr>
        <w:t>регi тас т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723325">
        <w:rPr>
          <w:rFonts w:cs="Times New Roman"/>
          <w:sz w:val="16"/>
          <w:szCs w:val="16"/>
          <w:lang w:val="kk-KZ"/>
        </w:rPr>
        <w:t>бесiне шы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723325">
        <w:rPr>
          <w:rFonts w:cs="Times New Roman"/>
          <w:sz w:val="16"/>
          <w:szCs w:val="16"/>
          <w:lang w:val="kk-KZ"/>
        </w:rPr>
        <w:t>ыны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бiрге болатын ишемия ауруын клиникалы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723325">
        <w:rPr>
          <w:rFonts w:cs="Times New Roman"/>
          <w:sz w:val="16"/>
          <w:szCs w:val="16"/>
          <w:lang w:val="kk-KZ"/>
        </w:rPr>
        <w:t>ым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723325">
        <w:rPr>
          <w:rFonts w:cs="Times New Roman"/>
          <w:sz w:val="16"/>
          <w:szCs w:val="16"/>
          <w:lang w:val="kk-KZ"/>
        </w:rPr>
        <w:t xml:space="preserve">а (6 ай iшiнде) ловастатин препаратты 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723325">
        <w:rPr>
          <w:rFonts w:cs="Times New Roman"/>
          <w:sz w:val="16"/>
          <w:szCs w:val="16"/>
          <w:lang w:val="kk-KZ"/>
        </w:rPr>
        <w:t>за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терапияны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тиiмдiлiгi елестеткен.  Кернеудi т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723325">
        <w:rPr>
          <w:rFonts w:cs="Times New Roman"/>
          <w:sz w:val="16"/>
          <w:szCs w:val="16"/>
          <w:lang w:val="kk-KZ"/>
        </w:rPr>
        <w:t>ра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ты стенокардиясы бар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723325">
        <w:rPr>
          <w:rFonts w:cs="Times New Roman"/>
          <w:sz w:val="16"/>
          <w:szCs w:val="16"/>
          <w:lang w:val="kk-KZ"/>
        </w:rPr>
        <w:t>ректi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ишемия ауруыны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47 аурулары, функционалды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сыныптарда ба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ылап болды -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723325">
        <w:rPr>
          <w:rFonts w:cs="Times New Roman"/>
          <w:sz w:val="16"/>
          <w:szCs w:val="16"/>
          <w:lang w:val="kk-KZ"/>
        </w:rPr>
        <w:t>не метаболиялы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синдроммен. 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723325">
        <w:rPr>
          <w:rFonts w:cs="Times New Roman"/>
          <w:sz w:val="16"/>
          <w:szCs w:val="16"/>
          <w:lang w:val="kk-KZ"/>
        </w:rPr>
        <w:t>ткiзiлген зерттеу ловастатин к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723325">
        <w:rPr>
          <w:rFonts w:cs="Times New Roman"/>
          <w:sz w:val="16"/>
          <w:szCs w:val="16"/>
          <w:lang w:val="kk-KZ"/>
        </w:rPr>
        <w:t xml:space="preserve">ре тамыр 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ан 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723325">
        <w:rPr>
          <w:rFonts w:cs="Times New Roman"/>
          <w:sz w:val="16"/>
          <w:szCs w:val="16"/>
          <w:lang w:val="kk-KZ"/>
        </w:rPr>
        <w:t>у метаболиялы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синдромы бар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723325">
        <w:rPr>
          <w:rFonts w:cs="Times New Roman"/>
          <w:sz w:val="16"/>
          <w:szCs w:val="16"/>
          <w:lang w:val="kk-KZ"/>
        </w:rPr>
        <w:t>ректi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ишемия ауруыны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ауруларында жа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сарт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анын к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723325">
        <w:rPr>
          <w:rFonts w:cs="Times New Roman"/>
          <w:sz w:val="16"/>
          <w:szCs w:val="16"/>
          <w:lang w:val="kk-KZ"/>
        </w:rPr>
        <w:t>рсеттi. Препаратты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ишемия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723325">
        <w:rPr>
          <w:rFonts w:cs="Times New Roman"/>
          <w:sz w:val="16"/>
          <w:szCs w:val="16"/>
          <w:lang w:val="kk-KZ"/>
        </w:rPr>
        <w:t xml:space="preserve">а 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арсы эффектi гиполипидемия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723325">
        <w:rPr>
          <w:rFonts w:cs="Times New Roman"/>
          <w:sz w:val="16"/>
          <w:szCs w:val="16"/>
          <w:lang w:val="kk-KZ"/>
        </w:rPr>
        <w:t>не эффекттермен эндотелийпротекторным аны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тал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723325">
        <w:rPr>
          <w:rFonts w:cs="Times New Roman"/>
          <w:sz w:val="16"/>
          <w:szCs w:val="16"/>
          <w:lang w:val="kk-KZ"/>
        </w:rPr>
        <w:t xml:space="preserve">ан. Ловастатин 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осымша эффекттер ша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>ырмайды.</w:t>
      </w: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723325">
        <w:rPr>
          <w:rFonts w:eastAsia="Times New Roman" w:cs="Times New Roman"/>
          <w:b/>
          <w:sz w:val="16"/>
          <w:szCs w:val="16"/>
          <w:lang w:val="kk-KZ"/>
        </w:rPr>
        <w:t>Негiзгi с</w:t>
      </w:r>
      <w:r w:rsidRPr="00723325">
        <w:rPr>
          <w:rFonts w:ascii="Times New Roman" w:eastAsia="Times New Roman" w:hAnsi="Times New Roman" w:cs="Times New Roman"/>
          <w:b/>
          <w:sz w:val="16"/>
          <w:szCs w:val="16"/>
          <w:lang w:val="kk-KZ"/>
        </w:rPr>
        <w:t>ө</w:t>
      </w:r>
      <w:r w:rsidRPr="00723325">
        <w:rPr>
          <w:rFonts w:eastAsia="Times New Roman" w:cs="Times New Roman"/>
          <w:b/>
          <w:sz w:val="16"/>
          <w:szCs w:val="16"/>
          <w:lang w:val="kk-KZ"/>
        </w:rPr>
        <w:t>здер</w:t>
      </w:r>
      <w:r w:rsidRPr="00723325">
        <w:rPr>
          <w:rFonts w:cs="Times New Roman"/>
          <w:sz w:val="16"/>
          <w:szCs w:val="16"/>
          <w:lang w:val="kk-KZ"/>
        </w:rPr>
        <w:t xml:space="preserve"> ж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723325">
        <w:rPr>
          <w:rFonts w:cs="Times New Roman"/>
          <w:sz w:val="16"/>
          <w:szCs w:val="16"/>
          <w:lang w:val="kk-KZ"/>
        </w:rPr>
        <w:t>ректi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723325">
        <w:rPr>
          <w:rFonts w:cs="Times New Roman"/>
          <w:sz w:val="16"/>
          <w:szCs w:val="16"/>
          <w:lang w:val="kk-KZ"/>
        </w:rPr>
        <w:t xml:space="preserve"> ишемия ауруы, метаболиялы</w:t>
      </w:r>
      <w:r w:rsidRPr="00723325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723325">
        <w:rPr>
          <w:rFonts w:cs="Times New Roman"/>
          <w:sz w:val="16"/>
          <w:szCs w:val="16"/>
          <w:lang w:val="kk-KZ"/>
        </w:rPr>
        <w:t xml:space="preserve"> синдромы, ловастатин.</w:t>
      </w:r>
    </w:p>
    <w:p w:rsidR="00723325" w:rsidRPr="00723325" w:rsidRDefault="00723325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6"/>
          <w:szCs w:val="16"/>
          <w:lang w:val="kk-KZ"/>
        </w:rPr>
      </w:pP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Метаболический синдром (МС) как отдельное понятие впервые описал J.P.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Camus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 1966г. в статье «Подагра, диабет,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гиперлипемия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: метаболический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трисиндром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» [1]. В 1967г. исследователи из Падуи заметили частую ассоциацию сахарного диабета (СД) с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гиперлипидемией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и умеренным ожирением.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Reaven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G.M. в 1988г. ввел термин “синдром Х”, включив в это понятие тканевую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инсулинорезистентность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с последующей компенсаторной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гиперинсулинемией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нарушением толерантности к глюкозе (НТГ) и СД ІІ типа;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дислипопротеинемию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артериальную гипертензию (АГ) и абдоминальное ожирение [2]. Такой компонент МС, как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дислипопротеинемия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служит фактором риска ишемической болезни сердца (ИБС) и других заболеваний, обусловленных атеросклерозом [3], поэтому медикаментозная коррекция этого состояния имеет значение для практической кардиологии.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Согласно современным представлениям необходимым звеном терапии пациентов ИБС являются ингибиторы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ГОМК-редуктазы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статины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). Результаты значительного числа многоцентровых исследований в течение последних 15 лет свидетельствует, что регулярное применение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приводит к снижению частоты развития инфарктов миокарда (ИМ) и смерти от патологии коронарных сосудов до 40% [4].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По данным пятилетнего наблюдения за более чем 6000 мужчин с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гиперхолестеринемией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(исследование WOSCOPS), длительная терапия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правастатином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способствовала снижению риска развития острых коронарных событий на 31%, а общей смертности – на 22% по сравнению с группой плацебо. Результаты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Air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Force</w:t>
      </w:r>
      <w:proofErr w:type="spellEnd"/>
      <w:r w:rsidRPr="00723325">
        <w:rPr>
          <w:rFonts w:cs="Times New Roman"/>
          <w:color w:val="000000"/>
          <w:sz w:val="16"/>
          <w:szCs w:val="16"/>
        </w:rPr>
        <w:t>/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Texas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Coronary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Atherosclerosis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Prevention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Study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свидетельствуют о снижении частоты развития фатальных 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нефатальных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ИМ после 4,8 года приема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ловастатина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у 6605 человек без клинических проявлений ИБС, имеющих повышенный уровень общего холестерина (ХС).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Центральным механизмом действия и основой клинической эффективности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является влияние препаратов на состояние липидного обмена. Установлено, что под их влиянием снижение уровня холестерина, липопротеидов низкой плотности (ЛПНП) 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триглицеридов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(ТГ) на 25-35% ассоциируется со снижением частоты развития ИМ и смерти от патологии коронарных сосудов на 24-37% (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National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Cholesterol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Education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Program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1994). Наряду с влиянием на уровень липидов важным результатом терапии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статинами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является стабилизация атеросклеротической бляшки, что подтверждается данными ангиографии [5]. По результатам многоцентрового исследования MAAS, проведенного с участием 381 пациента, регулярный прием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симвастатина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 течение двух лет способствовал регрессу атеросклеротических бляшек у 19% обследованных (против 12% в группе плацебо). Результаты исследования MARS (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мониторированное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исследование атеросклероза) доказали, что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способен предупреждать и даже вызывать обратную связь, то есть регрессию, атеросклероза коронарных артерий и уменьшать их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стенозирование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. Установлено также, что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замедляет прогрессирование каротидного атеросклероза.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proofErr w:type="gramStart"/>
      <w:r w:rsidRPr="00723325">
        <w:rPr>
          <w:rFonts w:cs="Times New Roman"/>
          <w:color w:val="000000"/>
          <w:sz w:val="16"/>
          <w:szCs w:val="16"/>
        </w:rPr>
        <w:t xml:space="preserve">В 1997 году впервые были представлены уникальные данные об эффективности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ловастатина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мевакор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) при первичной профилактике ИБС, исследование AFCAPS, которое является первым большим клиническим исследованием у пациентов без признаков ИБС с мягкой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гиперхолестеринемией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и пониженным уровнем холестерина липопротеидов высокой плотности (ХС ЛПВП).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gramStart"/>
      <w:r w:rsidRPr="00723325">
        <w:rPr>
          <w:rFonts w:cs="Times New Roman"/>
          <w:color w:val="000000"/>
          <w:sz w:val="16"/>
          <w:szCs w:val="16"/>
        </w:rPr>
        <w:t xml:space="preserve">Исследование AFCAPS включало 6605 мужчин (в возрасте 45-73 лет) и женщин (в возрасте 55-73 лет) с уровнем общего ХС от 4,65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ммоль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/л до 6,83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ммоль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/л (180-264 мг/дл) и уровнем ХС ЛПВП &lt;1.16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ммоль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/л (&lt;45 мг/дл) для мужчин и &lt;1,22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ммоль</w:t>
      </w:r>
      <w:proofErr w:type="spellEnd"/>
      <w:r w:rsidRPr="00723325">
        <w:rPr>
          <w:rFonts w:cs="Times New Roman"/>
          <w:color w:val="000000"/>
          <w:sz w:val="16"/>
          <w:szCs w:val="16"/>
        </w:rPr>
        <w:t>/л (&lt;47 мг/дл) для женщин.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 Продолжительность исследования - 5 лет. </w:t>
      </w:r>
      <w:proofErr w:type="gramStart"/>
      <w:r w:rsidRPr="00723325">
        <w:rPr>
          <w:rFonts w:cs="Times New Roman"/>
          <w:color w:val="000000"/>
          <w:sz w:val="16"/>
          <w:szCs w:val="16"/>
        </w:rPr>
        <w:t xml:space="preserve">В результате было установлено, что у пациентов с мягкой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гиперхолестеринемией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без признаков ИБС прием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мевакора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позволяет предупредить развитие первого коронарного приступа – снижение риска на 36%, первого инфаркта миокарда - снижение риска на 35%, необходимости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реваскуляризации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– снижение риска на 33%.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Мевакор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– единственный препарат класса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который предупреждает развитие нестабильной стенокардии – снижение риска на 34% [6]. </w:t>
      </w:r>
      <w:proofErr w:type="gramEnd"/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При МС следует проводить коррекцию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гиперхолестеринемии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 том случае, когда она сохраняется, несмотря на коррекцию уровня глюкозы в крови, строгое соблюдение диеты, снижение массы тела. В Скандинавском исследовании 4S (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Scandinavian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Simvastatin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Survival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Study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) анализ результатов терапии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статинами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у 202 больных СД ІІ типа показал снижение на 55% (</w:t>
      </w:r>
      <w:proofErr w:type="gramStart"/>
      <w:r w:rsidRPr="00723325">
        <w:rPr>
          <w:rFonts w:cs="Times New Roman"/>
          <w:color w:val="000000"/>
          <w:sz w:val="16"/>
          <w:szCs w:val="16"/>
        </w:rPr>
        <w:t>р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=0,002) возникновения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сердечно-сосудистых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заболеваний [7].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lastRenderedPageBreak/>
        <w:t xml:space="preserve">Таким образом, на сегодняшний день с позиций доказательной медицины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статины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являются одной из наиболее эффективных групп препаратов для лечения сосудистой патологии атеросклеротического генеза, а также показаны для коррекции нарушений липидного обмена при МС.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723325">
        <w:rPr>
          <w:rFonts w:cs="Times New Roman"/>
          <w:b/>
          <w:bCs/>
          <w:color w:val="000000"/>
          <w:sz w:val="16"/>
          <w:szCs w:val="16"/>
        </w:rPr>
        <w:t xml:space="preserve">Цель исследования: </w:t>
      </w:r>
      <w:r w:rsidRPr="00723325">
        <w:rPr>
          <w:rFonts w:cs="Times New Roman"/>
          <w:sz w:val="16"/>
          <w:szCs w:val="16"/>
        </w:rPr>
        <w:t xml:space="preserve">изучение влияния длительной терапии препаратом </w:t>
      </w:r>
      <w:proofErr w:type="spellStart"/>
      <w:r w:rsidRPr="00723325">
        <w:rPr>
          <w:rFonts w:cs="Times New Roman"/>
          <w:sz w:val="16"/>
          <w:szCs w:val="16"/>
        </w:rPr>
        <w:t>ловастатин</w:t>
      </w:r>
      <w:proofErr w:type="spellEnd"/>
      <w:r w:rsidRPr="00723325">
        <w:rPr>
          <w:rFonts w:cs="Times New Roman"/>
          <w:sz w:val="16"/>
          <w:szCs w:val="16"/>
        </w:rPr>
        <w:t xml:space="preserve"> (в течение 6 месяцев) на показатели липидного обмена и клиническое течение сопутствующей ИБС у пациентов с метаболическим синдромом.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b/>
          <w:bCs/>
          <w:sz w:val="16"/>
          <w:szCs w:val="16"/>
        </w:rPr>
        <w:t xml:space="preserve">Материал и методы исследования. </w:t>
      </w:r>
      <w:r w:rsidRPr="00723325">
        <w:rPr>
          <w:rFonts w:cs="Times New Roman"/>
          <w:color w:val="000000"/>
          <w:sz w:val="16"/>
          <w:szCs w:val="16"/>
        </w:rPr>
        <w:t>Под наблюдением находились 47 больных с МС и ИБС, в том числе 27 мужчин и 20 женщин, в возрасте от 56 до 82 лет. Длительность заболевания И</w:t>
      </w:r>
      <w:proofErr w:type="gramStart"/>
      <w:r w:rsidRPr="00723325">
        <w:rPr>
          <w:rFonts w:cs="Times New Roman"/>
          <w:color w:val="000000"/>
          <w:sz w:val="16"/>
          <w:szCs w:val="16"/>
        </w:rPr>
        <w:t>БС в ср</w:t>
      </w:r>
      <w:proofErr w:type="gramEnd"/>
      <w:r w:rsidRPr="00723325">
        <w:rPr>
          <w:rFonts w:cs="Times New Roman"/>
          <w:color w:val="000000"/>
          <w:sz w:val="16"/>
          <w:szCs w:val="16"/>
        </w:rPr>
        <w:t>еднем составила 13,7</w:t>
      </w:r>
      <w:r w:rsidRPr="00723325">
        <w:rPr>
          <w:rFonts w:eastAsia="MS Mincho" w:cs="Times New Roman"/>
          <w:color w:val="000000"/>
          <w:sz w:val="16"/>
          <w:szCs w:val="16"/>
        </w:rPr>
        <w:t>±</w:t>
      </w:r>
      <w:r w:rsidRPr="00723325">
        <w:rPr>
          <w:rFonts w:cs="Times New Roman"/>
          <w:color w:val="000000"/>
          <w:sz w:val="16"/>
          <w:szCs w:val="16"/>
        </w:rPr>
        <w:t xml:space="preserve">1,3 года.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У всех обследуемых был поставлен диагноз «стабильная стенокардия напряжения», причем согласно Канадской классификации 12 пациентов были отнесены к третьему функциональному классу, 35 больных – ко второму.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Для определения функционального класса хронической сердечной недостаточности (ХСН) и изучения уровня толерантности к физической нагрузке применили тест 6-минутной ходьбы. До начала ходьбы по коридору определяли частоту артериального пульса и артериальное давление (АД). Темп ходьбы был средний. Оценивали пройденное расстояние и объективный статус.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назначали вместе с проводимой базовой терапией внутрь по 20 мг один раз в сутки вечером во время еды. Курс лечения составил 3 недели. При выписке всем пациентам рекомендовали продолжать курс лечения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ловастатином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 течение года. Каждого больного обследовали до лечения и после 3 недель приема препарата. 38 пациентов (из 47) были приглашены и повторно обследованы через 6 месяцев после выписки, причем каждый подтвердил, что регулярно принимал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При обследовании пациентов каждый раз оценивали объективный статус, проводили антропометрическое обследование, определение АД, электрокардиографию (ЭКГ), клинический анализ крови и мочи, биохимический анализ крови (общий белок, билирубин,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креатинин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мочевина), определение уровня глюкозы крови натощак, изучали липидный спектр плазмы крови (общий ХС, ТГ).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>МС диагностировали согласно следующим критериям: нарушение толерантности к глюкозе (обнаружено у 27) или СД ІІ типа (у 20); абдоминальное ожирение (АО), если индекс массы тела (ИМТ) &gt;30 кг/м</w:t>
      </w:r>
      <w:proofErr w:type="gramStart"/>
      <w:r w:rsidRPr="00723325">
        <w:rPr>
          <w:rFonts w:cs="Times New Roman"/>
          <w:color w:val="000000"/>
          <w:sz w:val="16"/>
          <w:szCs w:val="16"/>
        </w:rPr>
        <w:t>2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;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дислипопротеинемия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гипертриглицеридемия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и/или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гиперхолестеринемия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).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>Определяли следующие антропометрические показатели: массу тела (М, кг), рост (</w:t>
      </w:r>
      <w:proofErr w:type="gramStart"/>
      <w:r w:rsidRPr="00723325">
        <w:rPr>
          <w:rFonts w:cs="Times New Roman"/>
          <w:color w:val="000000"/>
          <w:sz w:val="16"/>
          <w:szCs w:val="16"/>
        </w:rPr>
        <w:t>Р</w:t>
      </w:r>
      <w:proofErr w:type="gramEnd"/>
      <w:r w:rsidRPr="00723325">
        <w:rPr>
          <w:rFonts w:cs="Times New Roman"/>
          <w:color w:val="000000"/>
          <w:sz w:val="16"/>
          <w:szCs w:val="16"/>
        </w:rPr>
        <w:t>, м), ИМТ (кг/м2), окружность талии (ОТ, см), окружность бедер (ОБ, см). ИМТ вычисляли по формуле М/Р</w:t>
      </w:r>
      <w:proofErr w:type="gramStart"/>
      <w:r w:rsidRPr="00723325">
        <w:rPr>
          <w:rFonts w:cs="Times New Roman"/>
          <w:color w:val="000000"/>
          <w:sz w:val="16"/>
          <w:szCs w:val="16"/>
        </w:rPr>
        <w:t>2</w:t>
      </w:r>
      <w:proofErr w:type="gramEnd"/>
      <w:r w:rsidRPr="00723325">
        <w:rPr>
          <w:rFonts w:cs="Times New Roman"/>
          <w:color w:val="000000"/>
          <w:sz w:val="16"/>
          <w:szCs w:val="16"/>
        </w:rPr>
        <w:t>. При ИМТ &gt; 30 кг/м</w:t>
      </w:r>
      <w:proofErr w:type="gramStart"/>
      <w:r w:rsidRPr="00723325">
        <w:rPr>
          <w:rFonts w:cs="Times New Roman"/>
          <w:color w:val="000000"/>
          <w:sz w:val="16"/>
          <w:szCs w:val="16"/>
        </w:rPr>
        <w:t>2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 отмечали ожирение; АО устанавливали, когда отношение ОТ/ОБ было больше 0,9.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Результаты проведенных исследований обрабатывались методами вариационной статистики. Для оценки достоверности разности использовали критерий </w:t>
      </w:r>
      <w:proofErr w:type="spellStart"/>
      <w:r w:rsidRPr="00723325">
        <w:rPr>
          <w:rFonts w:cs="Times New Roman"/>
          <w:iCs/>
          <w:color w:val="000000"/>
          <w:sz w:val="16"/>
          <w:szCs w:val="16"/>
        </w:rPr>
        <w:t>t</w:t>
      </w:r>
      <w:proofErr w:type="spellEnd"/>
      <w:r w:rsidRPr="00723325">
        <w:rPr>
          <w:rFonts w:cs="Times New Roman"/>
          <w:iCs/>
          <w:color w:val="000000"/>
          <w:sz w:val="16"/>
          <w:szCs w:val="16"/>
        </w:rPr>
        <w:t xml:space="preserve"> </w:t>
      </w:r>
      <w:r w:rsidRPr="00723325">
        <w:rPr>
          <w:rFonts w:cs="Times New Roman"/>
          <w:color w:val="000000"/>
          <w:sz w:val="16"/>
          <w:szCs w:val="16"/>
        </w:rPr>
        <w:t xml:space="preserve">Стьюдента и показатель достоверности р. Различия считали статистически достоверными при </w:t>
      </w:r>
      <w:proofErr w:type="spellStart"/>
      <w:proofErr w:type="gramStart"/>
      <w:r w:rsidRPr="00723325">
        <w:rPr>
          <w:rFonts w:cs="Times New Roman"/>
          <w:iCs/>
          <w:color w:val="000000"/>
          <w:sz w:val="16"/>
          <w:szCs w:val="16"/>
        </w:rPr>
        <w:t>р</w:t>
      </w:r>
      <w:proofErr w:type="spellEnd"/>
      <w:proofErr w:type="gramEnd"/>
      <w:r w:rsidRPr="00723325">
        <w:rPr>
          <w:rFonts w:cs="Times New Roman"/>
          <w:iCs/>
          <w:color w:val="000000"/>
          <w:sz w:val="16"/>
          <w:szCs w:val="16"/>
        </w:rPr>
        <w:t xml:space="preserve"> </w:t>
      </w:r>
      <w:r w:rsidRPr="00723325">
        <w:rPr>
          <w:rFonts w:cs="Times New Roman"/>
          <w:color w:val="000000"/>
          <w:sz w:val="16"/>
          <w:szCs w:val="16"/>
        </w:rPr>
        <w:t xml:space="preserve">&lt; 0,05. 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723325">
        <w:rPr>
          <w:rFonts w:cs="Times New Roman"/>
          <w:b/>
          <w:color w:val="000000"/>
          <w:sz w:val="16"/>
          <w:szCs w:val="16"/>
        </w:rPr>
        <w:t xml:space="preserve">Результаты  исследований и обсуждение. </w:t>
      </w:r>
      <w:r w:rsidRPr="00723325">
        <w:rPr>
          <w:rFonts w:cs="Times New Roman"/>
          <w:color w:val="000000"/>
          <w:sz w:val="16"/>
          <w:szCs w:val="16"/>
        </w:rPr>
        <w:t xml:space="preserve">Согласно данным объективного исследования клинические признаки ХСН І степени согласно классификации NYHA [1] имели место у 35 (74,47%) пациентов, ІІ степени – у 12 (25,53%). </w:t>
      </w:r>
      <w:r w:rsidRPr="00723325">
        <w:rPr>
          <w:rFonts w:cs="Times New Roman"/>
          <w:sz w:val="16"/>
          <w:szCs w:val="16"/>
        </w:rPr>
        <w:t xml:space="preserve">По данным исследований, на протяжении 6 месяцев терапии все 38 пациентов отмечали улучшение самочувствия: повышение физической активности, субъективное уменьшение неприятных ощущений в области сердца, снижение необходимости в приеме нитратов короткого действия. При анализе клинических показателей выявлено, что лечение препаратом </w:t>
      </w:r>
      <w:proofErr w:type="spellStart"/>
      <w:r w:rsidRPr="00723325">
        <w:rPr>
          <w:rFonts w:cs="Times New Roman"/>
          <w:sz w:val="16"/>
          <w:szCs w:val="16"/>
        </w:rPr>
        <w:t>ловастатин</w:t>
      </w:r>
      <w:proofErr w:type="spellEnd"/>
      <w:r w:rsidRPr="00723325">
        <w:rPr>
          <w:rFonts w:cs="Times New Roman"/>
          <w:sz w:val="16"/>
          <w:szCs w:val="16"/>
        </w:rPr>
        <w:t xml:space="preserve"> сопровождалось тенденцией к снижению количества приступов стенокардии за неделю. По данным ЭКГ, нарушений сердечного ритма, проводимости и автоматизма, изменений комплекса QRS, сегмента ST и зубца</w:t>
      </w:r>
      <w:proofErr w:type="gramStart"/>
      <w:r w:rsidRPr="00723325">
        <w:rPr>
          <w:rFonts w:cs="Times New Roman"/>
          <w:sz w:val="16"/>
          <w:szCs w:val="16"/>
        </w:rPr>
        <w:t xml:space="preserve"> Т</w:t>
      </w:r>
      <w:proofErr w:type="gramEnd"/>
      <w:r w:rsidRPr="00723325">
        <w:rPr>
          <w:rFonts w:cs="Times New Roman"/>
          <w:sz w:val="16"/>
          <w:szCs w:val="16"/>
        </w:rPr>
        <w:t xml:space="preserve"> не было выявлено, причем после 6 месяцев терапии </w:t>
      </w:r>
      <w:proofErr w:type="spellStart"/>
      <w:r w:rsidRPr="00723325">
        <w:rPr>
          <w:rFonts w:cs="Times New Roman"/>
          <w:sz w:val="16"/>
          <w:szCs w:val="16"/>
        </w:rPr>
        <w:t>ловастатином</w:t>
      </w:r>
      <w:proofErr w:type="spellEnd"/>
      <w:r w:rsidRPr="00723325">
        <w:rPr>
          <w:rFonts w:cs="Times New Roman"/>
          <w:sz w:val="16"/>
          <w:szCs w:val="16"/>
        </w:rPr>
        <w:t xml:space="preserve"> уменьшилась частота выявления очагов ишемии.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Обнаружена тенденция к увеличению переносимости (толерантности) физической нагрузки, что подтверждают результаты теста 6-минутной ходьбы. Ходьбу больные переносили хорошо. В то же время у 2 больных после прохождения 150 м и у 1 – после прохождения 100 м появились умеренная одышка, дискомфорт, неприятные ощущения в груди, после чего ходьбу сразу же прекратили. За 6 минут больные проходили разное расстояние, причем после лечения 8 пациентов прошли на 50 м больше, чем до лечения, а остальные - то же самое расстояние в течение 6 минут. Артериальный пульс при проведении теста учащался до лечения у 20 человек, после лечения – у 42, становился реже до лечения – у 11, а после - ни у кого, был без изменений до лечения – у 16, после – у 5. </w:t>
      </w:r>
      <w:proofErr w:type="gramStart"/>
      <w:r w:rsidRPr="00723325">
        <w:rPr>
          <w:rFonts w:cs="Times New Roman"/>
          <w:color w:val="000000"/>
          <w:sz w:val="16"/>
          <w:szCs w:val="16"/>
        </w:rPr>
        <w:t>Систолическое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 АД увеличилось до лечения у 27 больных, после – у 46, уменьшилось до лечения – у 3, после – ни у кого, осталось без изменений до лечения – у 17, после – у 1.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Диастолическое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АД увеличилось до лечения у 12 больных, после – у 5, уменьшилось до лечения и после – у 2, осталось без изменений до лечения – у 37, после – у 40. То есть после курса лечения у большинства пациентов определилась умеренно выраженная </w:t>
      </w:r>
      <w:proofErr w:type="spellStart"/>
      <w:r w:rsidRPr="00723325">
        <w:rPr>
          <w:rFonts w:cs="Times New Roman"/>
          <w:iCs/>
          <w:color w:val="000000"/>
          <w:sz w:val="16"/>
          <w:szCs w:val="16"/>
        </w:rPr>
        <w:t>нормотоническая</w:t>
      </w:r>
      <w:proofErr w:type="spellEnd"/>
      <w:r w:rsidRPr="00723325">
        <w:rPr>
          <w:rFonts w:cs="Times New Roman"/>
          <w:iCs/>
          <w:color w:val="000000"/>
          <w:sz w:val="16"/>
          <w:szCs w:val="16"/>
        </w:rPr>
        <w:t xml:space="preserve"> </w:t>
      </w:r>
      <w:r w:rsidRPr="00723325">
        <w:rPr>
          <w:rFonts w:cs="Times New Roman"/>
          <w:color w:val="000000"/>
          <w:sz w:val="16"/>
          <w:szCs w:val="16"/>
        </w:rPr>
        <w:t xml:space="preserve">реакция на физическую нагрузку, что характеризуется отчетливым повышением систолического АД при небольшом снижении или неизмененном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диастолическом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АД с учащением артериального пульса. </w:t>
      </w:r>
    </w:p>
    <w:p w:rsidR="00150BFC" w:rsidRPr="00723325" w:rsidRDefault="00150BFC" w:rsidP="0072332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proofErr w:type="gramStart"/>
      <w:r w:rsidRPr="00723325">
        <w:rPr>
          <w:rFonts w:asciiTheme="minorHAnsi" w:hAnsiTheme="minorHAnsi" w:cs="Times New Roman"/>
          <w:sz w:val="16"/>
          <w:szCs w:val="16"/>
        </w:rPr>
        <w:t>Изложенное</w:t>
      </w:r>
      <w:proofErr w:type="gramEnd"/>
      <w:r w:rsidRPr="00723325">
        <w:rPr>
          <w:rFonts w:asciiTheme="minorHAnsi" w:hAnsiTheme="minorHAnsi" w:cs="Times New Roman"/>
          <w:sz w:val="16"/>
          <w:szCs w:val="16"/>
        </w:rPr>
        <w:t xml:space="preserve"> выше свидетельствует об улучшении состояния коронарного кровотока, вследствие чего достигнута положительная динамика клинической симптоматики под влиянием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ловастатина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.</w:t>
      </w:r>
    </w:p>
    <w:p w:rsidR="00150BFC" w:rsidRPr="00723325" w:rsidRDefault="00150BFC" w:rsidP="0072332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723325">
        <w:rPr>
          <w:rFonts w:asciiTheme="minorHAnsi" w:hAnsiTheme="minorHAnsi" w:cs="Times New Roman"/>
          <w:sz w:val="16"/>
          <w:szCs w:val="16"/>
        </w:rPr>
        <w:t xml:space="preserve">Установлено несколько механизмов действия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статинов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на состояние коронарного кровотока. Одним из них является влияние на размеры и состояние атеросклеротической бляшки [3]. Кроме того,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антиишемическое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действие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ловастатина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определяется, прежде всего, его влиянием на липидный состав плазмы крови. Согласно полученным данным, его влияние на уровень липидов проявилось уже к концу 3-й недели терапии и достигло стабильных показателей у 6-му месяцу лечения. Судя по результатам исследования, терапия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ловастатином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привела к снижению уровня ОХ и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триглицеридов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.</w:t>
      </w:r>
    </w:p>
    <w:p w:rsidR="00150BFC" w:rsidRPr="00723325" w:rsidRDefault="00150BFC" w:rsidP="0072332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723325">
        <w:rPr>
          <w:rFonts w:asciiTheme="minorHAnsi" w:hAnsiTheme="minorHAnsi" w:cs="Times New Roman"/>
          <w:sz w:val="16"/>
          <w:szCs w:val="16"/>
        </w:rPr>
        <w:t xml:space="preserve">Как свидетельствуют полученные данные, отмечена достоверная динамика показателей липидного обмена во время лечения препаратом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: уровень ОХ снизился с 6,347</w:t>
      </w:r>
      <w:r w:rsidRPr="00723325">
        <w:rPr>
          <w:rFonts w:asciiTheme="minorHAnsi" w:eastAsia="MS Mincho" w:hAnsiTheme="minorHAnsi" w:cs="Times New Roman"/>
          <w:sz w:val="16"/>
          <w:szCs w:val="16"/>
        </w:rPr>
        <w:t>±</w:t>
      </w:r>
      <w:r w:rsidRPr="00723325">
        <w:rPr>
          <w:rFonts w:asciiTheme="minorHAnsi" w:hAnsiTheme="minorHAnsi" w:cs="Times New Roman"/>
          <w:sz w:val="16"/>
          <w:szCs w:val="16"/>
        </w:rPr>
        <w:t xml:space="preserve">0,128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ммоль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/л до 5,712</w:t>
      </w:r>
      <w:r w:rsidRPr="00723325">
        <w:rPr>
          <w:rFonts w:asciiTheme="minorHAnsi" w:eastAsia="MS Mincho" w:hAnsiTheme="minorHAnsi" w:cs="Times New Roman"/>
          <w:sz w:val="16"/>
          <w:szCs w:val="16"/>
        </w:rPr>
        <w:t>±</w:t>
      </w:r>
      <w:r w:rsidRPr="00723325">
        <w:rPr>
          <w:rFonts w:asciiTheme="minorHAnsi" w:hAnsiTheme="minorHAnsi" w:cs="Times New Roman"/>
          <w:sz w:val="16"/>
          <w:szCs w:val="16"/>
        </w:rPr>
        <w:t xml:space="preserve">0,126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ммоль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/л через 3 недели терапии (</w:t>
      </w:r>
      <w:proofErr w:type="spellStart"/>
      <w:proofErr w:type="gramStart"/>
      <w:r w:rsidRPr="00723325">
        <w:rPr>
          <w:rFonts w:asciiTheme="minorHAnsi" w:hAnsiTheme="minorHAnsi" w:cs="Times New Roman"/>
          <w:iCs/>
          <w:sz w:val="16"/>
          <w:szCs w:val="16"/>
        </w:rPr>
        <w:t>р</w:t>
      </w:r>
      <w:proofErr w:type="spellEnd"/>
      <w:proofErr w:type="gramEnd"/>
      <w:r w:rsidRPr="00723325">
        <w:rPr>
          <w:rFonts w:asciiTheme="minorHAnsi" w:hAnsiTheme="minorHAnsi" w:cs="Times New Roman"/>
          <w:sz w:val="16"/>
          <w:szCs w:val="16"/>
        </w:rPr>
        <w:t>&lt;0,001), а через 6 месяцев – до 5,352</w:t>
      </w:r>
      <w:r w:rsidRPr="00723325">
        <w:rPr>
          <w:rFonts w:asciiTheme="minorHAnsi" w:eastAsia="MS Mincho" w:hAnsiTheme="minorHAnsi" w:cs="Times New Roman"/>
          <w:sz w:val="16"/>
          <w:szCs w:val="16"/>
        </w:rPr>
        <w:t>±</w:t>
      </w:r>
      <w:r w:rsidRPr="00723325">
        <w:rPr>
          <w:rFonts w:asciiTheme="minorHAnsi" w:hAnsiTheme="minorHAnsi" w:cs="Times New Roman"/>
          <w:sz w:val="16"/>
          <w:szCs w:val="16"/>
        </w:rPr>
        <w:t xml:space="preserve">0,126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ммоль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/л (</w:t>
      </w:r>
      <w:proofErr w:type="spellStart"/>
      <w:r w:rsidRPr="00723325">
        <w:rPr>
          <w:rFonts w:asciiTheme="minorHAnsi" w:hAnsiTheme="minorHAnsi" w:cs="Times New Roman"/>
          <w:iCs/>
          <w:sz w:val="16"/>
          <w:szCs w:val="16"/>
        </w:rPr>
        <w:t>р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&lt;0,001),что составляет уменьшение на 15,74% по сравнению с исходным значением; уровень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триглицеридов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с 2,117</w:t>
      </w:r>
      <w:r w:rsidRPr="00723325">
        <w:rPr>
          <w:rFonts w:asciiTheme="minorHAnsi" w:eastAsia="MS Mincho" w:hAnsiTheme="minorHAnsi" w:cs="Times New Roman"/>
          <w:sz w:val="16"/>
          <w:szCs w:val="16"/>
        </w:rPr>
        <w:t>±</w:t>
      </w:r>
      <w:r w:rsidRPr="00723325">
        <w:rPr>
          <w:rFonts w:asciiTheme="minorHAnsi" w:hAnsiTheme="minorHAnsi" w:cs="Times New Roman"/>
          <w:sz w:val="16"/>
          <w:szCs w:val="16"/>
        </w:rPr>
        <w:t xml:space="preserve">0,050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ммоль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/л 1,951 </w:t>
      </w:r>
      <w:r w:rsidRPr="00723325">
        <w:rPr>
          <w:rFonts w:asciiTheme="minorHAnsi" w:eastAsia="MS Mincho" w:hAnsiTheme="minorHAnsi" w:cs="Times New Roman"/>
          <w:sz w:val="16"/>
          <w:szCs w:val="16"/>
        </w:rPr>
        <w:t>±</w:t>
      </w:r>
      <w:r w:rsidRPr="00723325">
        <w:rPr>
          <w:rFonts w:asciiTheme="minorHAnsi" w:hAnsiTheme="minorHAnsi" w:cs="Times New Roman"/>
          <w:sz w:val="16"/>
          <w:szCs w:val="16"/>
        </w:rPr>
        <w:t xml:space="preserve"> 0,056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ммоль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/л через 3 недели лечения (</w:t>
      </w:r>
      <w:proofErr w:type="spellStart"/>
      <w:proofErr w:type="gramStart"/>
      <w:r w:rsidRPr="00723325">
        <w:rPr>
          <w:rFonts w:asciiTheme="minorHAnsi" w:hAnsiTheme="minorHAnsi" w:cs="Times New Roman"/>
          <w:iCs/>
          <w:sz w:val="16"/>
          <w:szCs w:val="16"/>
        </w:rPr>
        <w:t>р</w:t>
      </w:r>
      <w:proofErr w:type="spellEnd"/>
      <w:proofErr w:type="gramEnd"/>
      <w:r w:rsidRPr="00723325">
        <w:rPr>
          <w:rFonts w:asciiTheme="minorHAnsi" w:hAnsiTheme="minorHAnsi" w:cs="Times New Roman"/>
          <w:sz w:val="16"/>
          <w:szCs w:val="16"/>
        </w:rPr>
        <w:t xml:space="preserve">&lt;0,05), а через 6 месяцев – до 1,744 </w:t>
      </w:r>
      <w:r w:rsidRPr="00723325">
        <w:rPr>
          <w:rFonts w:asciiTheme="minorHAnsi" w:eastAsia="MS Mincho" w:hAnsiTheme="minorHAnsi" w:cs="Times New Roman"/>
          <w:sz w:val="16"/>
          <w:szCs w:val="16"/>
        </w:rPr>
        <w:t>±</w:t>
      </w:r>
      <w:r w:rsidRPr="00723325">
        <w:rPr>
          <w:rFonts w:asciiTheme="minorHAnsi" w:hAnsiTheme="minorHAnsi" w:cs="Times New Roman"/>
          <w:sz w:val="16"/>
          <w:szCs w:val="16"/>
        </w:rPr>
        <w:t xml:space="preserve">0,059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ммоль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>/л (</w:t>
      </w:r>
      <w:proofErr w:type="spellStart"/>
      <w:r w:rsidRPr="00723325">
        <w:rPr>
          <w:rFonts w:asciiTheme="minorHAnsi" w:hAnsiTheme="minorHAnsi" w:cs="Times New Roman"/>
          <w:iCs/>
          <w:sz w:val="16"/>
          <w:szCs w:val="16"/>
        </w:rPr>
        <w:t>р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&lt;0,001), то есть уменьшился на 17,92%, что подтверждает правильный выбор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ловастатина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для лечения больных ИБС в сочетании с МС, коррекции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дислипидемии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и предупреждения прогрессирования ХСН.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Наряду с непосредственным влиянием на липидный состав крови и состояние атеросклеротических бляшек, важный вклад в развитие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антиишемического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эффекта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вносит влияние на функциональное состояние эндотелия. При этом основным механизмом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эндотелийпротекторного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эффекта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статинов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является нормализация уровня липидов плазмы крови [1]. Поскольку избыток ЛПНП оказывает повреждающее влияние на эндотелий сосудов путем взаимодействия ЛП с рецепторным аппаратом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эндотелиоцитов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угнетения активности конститутивной эндотелиальной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NO-синтетазы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, активации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свободнорадикального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окисления, нормализация липидного обмена нивелирует указанные токсические эффекты и способствует нормализации функционального состояния эндотелия. </w:t>
      </w:r>
    </w:p>
    <w:p w:rsidR="00150BFC" w:rsidRPr="00723325" w:rsidRDefault="00150BFC" w:rsidP="0072332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723325">
        <w:rPr>
          <w:rFonts w:asciiTheme="minorHAnsi" w:hAnsiTheme="minorHAnsi" w:cs="Times New Roman"/>
          <w:sz w:val="16"/>
          <w:szCs w:val="16"/>
        </w:rPr>
        <w:t xml:space="preserve">При лечении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ловастатином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оценивали развитие побочных эффектов, влияние препарата на биохимические показатели и форменные элементы крови. У 4 пациентов отмечены побочные явления: сухость во рту и появление болей в животе. При анализе лабораторных показателей крови не выявлено изменений содержания билирубина,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креатинина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, мочевины, гемоглобина, СОЭ, эритроцитов, лейкоцитов. Клиническая переносимость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ловастатина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была удовлетворительной. Побочных эффектов и осложнений при длительном приеме препарата практически не отмечалось.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723325">
        <w:rPr>
          <w:rFonts w:cs="Times New Roman"/>
          <w:color w:val="000000"/>
          <w:sz w:val="16"/>
          <w:szCs w:val="16"/>
        </w:rPr>
        <w:t xml:space="preserve">Таким образом, проведенное исследование показало, что длительный курс лечения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ловастатином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 течение 6 месяцев у больных ИБС в сочетании с ХСН и МС сопровождается достоверным снижением уровня общего холестерина (на 15,74%) 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триглицеридов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крови (на 17,92%).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оказывает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антиишемический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эффект, который обусловлен непосредственным влиянием на состояние липидного обмена, а также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эндотелийпротекторным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эффектом. </w:t>
      </w:r>
      <w:proofErr w:type="gramStart"/>
      <w:r w:rsidRPr="00723325">
        <w:rPr>
          <w:rFonts w:cs="Times New Roman"/>
          <w:color w:val="000000"/>
          <w:sz w:val="16"/>
          <w:szCs w:val="16"/>
        </w:rPr>
        <w:t xml:space="preserve">После терапии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ловастатином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в дозе 20 мг один раз в сутки даже в течение 3 недель отмечена тенденция к снижению количества приступов стенокардии и к повышению толерантности к физической нагрузке у больных ИБС в </w:t>
      </w:r>
      <w:r w:rsidRPr="00723325">
        <w:rPr>
          <w:rFonts w:cs="Times New Roman"/>
          <w:color w:val="000000"/>
          <w:sz w:val="16"/>
          <w:szCs w:val="16"/>
        </w:rPr>
        <w:lastRenderedPageBreak/>
        <w:t xml:space="preserve">сочетании с ХСН и МС; при проведении теста 6-минутной ходьбы отмечено преобладание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нормотонической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реакции после лечения по сравнению с результатами до лечения.</w:t>
      </w:r>
      <w:proofErr w:type="gramEnd"/>
      <w:r w:rsidRPr="00723325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/>
          <w:sz w:val="16"/>
          <w:szCs w:val="16"/>
        </w:rPr>
        <w:t>Ловастатин</w:t>
      </w:r>
      <w:proofErr w:type="spellEnd"/>
      <w:r w:rsidRPr="00723325">
        <w:rPr>
          <w:rFonts w:cs="Times New Roman"/>
          <w:color w:val="000000"/>
          <w:sz w:val="16"/>
          <w:szCs w:val="16"/>
        </w:rPr>
        <w:t xml:space="preserve"> хорошо переносят больные ИБС в сочетании с МС и сопутствующей ХСН, он практически не вызывает побочных явлений и осложнений. </w:t>
      </w:r>
    </w:p>
    <w:p w:rsidR="00150BFC" w:rsidRPr="00723325" w:rsidRDefault="00150BFC" w:rsidP="00723325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723325">
        <w:rPr>
          <w:rFonts w:asciiTheme="minorHAnsi" w:hAnsiTheme="minorHAnsi" w:cs="Times New Roman"/>
          <w:sz w:val="16"/>
          <w:szCs w:val="16"/>
        </w:rPr>
        <w:t xml:space="preserve">Полученные данные доказывают необходимость включения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статинов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в терапию хронической сердечной недостаточности у больных ИБС и метаболическим синдромом, а также дальнейшего изучения механизмов действия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статинов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, а именно подробного объяснения их </w:t>
      </w:r>
      <w:proofErr w:type="spellStart"/>
      <w:r w:rsidRPr="00723325">
        <w:rPr>
          <w:rFonts w:asciiTheme="minorHAnsi" w:hAnsiTheme="minorHAnsi" w:cs="Times New Roman"/>
          <w:sz w:val="16"/>
          <w:szCs w:val="16"/>
        </w:rPr>
        <w:t>эндотелийпротекторного</w:t>
      </w:r>
      <w:proofErr w:type="spellEnd"/>
      <w:r w:rsidRPr="00723325">
        <w:rPr>
          <w:rFonts w:asciiTheme="minorHAnsi" w:hAnsiTheme="minorHAnsi" w:cs="Times New Roman"/>
          <w:sz w:val="16"/>
          <w:szCs w:val="16"/>
        </w:rPr>
        <w:t xml:space="preserve"> действия.</w:t>
      </w:r>
    </w:p>
    <w:p w:rsidR="00723325" w:rsidRDefault="00723325" w:rsidP="00723325">
      <w:pPr>
        <w:pStyle w:val="Default"/>
        <w:jc w:val="both"/>
        <w:rPr>
          <w:rFonts w:asciiTheme="minorHAnsi" w:hAnsiTheme="minorHAnsi" w:cs="Times New Roman"/>
          <w:b/>
          <w:sz w:val="16"/>
          <w:szCs w:val="16"/>
          <w:lang w:val="en-US"/>
        </w:rPr>
      </w:pPr>
    </w:p>
    <w:p w:rsidR="00150BFC" w:rsidRPr="00723325" w:rsidRDefault="00150BFC" w:rsidP="00723325">
      <w:pPr>
        <w:pStyle w:val="Default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23325">
        <w:rPr>
          <w:rFonts w:asciiTheme="minorHAnsi" w:hAnsiTheme="minorHAnsi" w:cs="Times New Roman"/>
          <w:b/>
          <w:sz w:val="16"/>
          <w:szCs w:val="16"/>
        </w:rPr>
        <w:t>Список использованной литературы: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723325">
        <w:rPr>
          <w:rFonts w:cs="Times New Roman"/>
          <w:color w:val="000000" w:themeColor="text1"/>
          <w:sz w:val="16"/>
          <w:szCs w:val="16"/>
        </w:rPr>
        <w:t xml:space="preserve">1. Мамедов М.Н., Перова Н.В., Косматова О.В. и др. Перспективы коррекции проявлений метаболического синдрома: влияние сочетанной гипотензивной и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</w:rPr>
        <w:t>гиполипидемической</w:t>
      </w:r>
      <w:proofErr w:type="spellEnd"/>
      <w:r w:rsidRPr="00723325">
        <w:rPr>
          <w:rFonts w:cs="Times New Roman"/>
          <w:color w:val="000000" w:themeColor="text1"/>
          <w:sz w:val="16"/>
          <w:szCs w:val="16"/>
        </w:rPr>
        <w:t xml:space="preserve"> терапии на уровень суммарного коронарного риска и </w:t>
      </w:r>
      <w:proofErr w:type="gramStart"/>
      <w:r w:rsidRPr="00723325">
        <w:rPr>
          <w:rFonts w:cs="Times New Roman"/>
          <w:color w:val="000000" w:themeColor="text1"/>
          <w:sz w:val="16"/>
          <w:szCs w:val="16"/>
        </w:rPr>
        <w:t>тканевую</w:t>
      </w:r>
      <w:proofErr w:type="gramEnd"/>
      <w:r w:rsidRPr="00723325">
        <w:rPr>
          <w:rFonts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</w:rPr>
        <w:t>инсулинорезистентность</w:t>
      </w:r>
      <w:proofErr w:type="spellEnd"/>
      <w:r w:rsidRPr="00723325">
        <w:rPr>
          <w:rFonts w:cs="Times New Roman"/>
          <w:color w:val="000000" w:themeColor="text1"/>
          <w:sz w:val="16"/>
          <w:szCs w:val="16"/>
        </w:rPr>
        <w:t xml:space="preserve"> // Кардиология.-2003.-№3.-С.13-19.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2.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Solfrizzi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V.,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Panza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F.,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Colacicco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A.M. Relation of lipoprotein(a) as coronary risk factor to type 2 diabetes mellitus and low-density lipoprotein cholesterol in patients &gt;65 years of age // Amer. J.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Cardiol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-2002.-Vol. 89, № 1.-P.825-829.</w:t>
      </w:r>
      <w:proofErr w:type="gramEnd"/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3.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Bertoli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A., Daniele N.,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Ceccobelli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M. et al. Lipid profile, BMI, body fat distribution, and aerobic fitness in men with metabolic syndrome //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Acta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Diabetol.-2001.-№ </w:t>
      </w:r>
      <w:r w:rsidRPr="00723325">
        <w:rPr>
          <w:rFonts w:cs="Times New Roman"/>
          <w:color w:val="000000" w:themeColor="text1"/>
          <w:sz w:val="16"/>
          <w:szCs w:val="16"/>
        </w:rPr>
        <w:t>38.-P.130-133.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723325">
        <w:rPr>
          <w:rFonts w:cs="Times New Roman"/>
          <w:color w:val="000000" w:themeColor="text1"/>
          <w:sz w:val="16"/>
          <w:szCs w:val="16"/>
        </w:rPr>
        <w:t xml:space="preserve">4.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</w:rPr>
        <w:t>Потеряева</w:t>
      </w:r>
      <w:proofErr w:type="spellEnd"/>
      <w:r w:rsidRPr="00723325">
        <w:rPr>
          <w:rFonts w:cs="Times New Roman"/>
          <w:color w:val="000000" w:themeColor="text1"/>
          <w:sz w:val="16"/>
          <w:szCs w:val="16"/>
        </w:rPr>
        <w:t xml:space="preserve"> О.Н., Панин Л.Е.,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</w:rPr>
        <w:t>Шевкопляс</w:t>
      </w:r>
      <w:proofErr w:type="spellEnd"/>
      <w:r w:rsidRPr="00723325">
        <w:rPr>
          <w:rFonts w:cs="Times New Roman"/>
          <w:color w:val="000000" w:themeColor="text1"/>
          <w:sz w:val="16"/>
          <w:szCs w:val="16"/>
        </w:rPr>
        <w:t xml:space="preserve"> О.П. и др.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</w:rPr>
        <w:t>Липопротеины</w:t>
      </w:r>
      <w:proofErr w:type="spellEnd"/>
      <w:r w:rsidRPr="00723325">
        <w:rPr>
          <w:rFonts w:cs="Times New Roman"/>
          <w:color w:val="000000" w:themeColor="text1"/>
          <w:sz w:val="16"/>
          <w:szCs w:val="16"/>
        </w:rPr>
        <w:t xml:space="preserve"> сыворотки крови при сахарном диабете ІІ типа // Проблемы эндокринологии.-2003.-Т.49, №4.-С.4-8.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5.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Koh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K. Effects of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statins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on vascular wall: vasomotor function, inflammation and plaque stability //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Cardiovasc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. </w:t>
      </w:r>
      <w:proofErr w:type="gram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Res.-2000.-№ 47.-P.648-657.</w:t>
      </w:r>
      <w:proofErr w:type="gramEnd"/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  <w:lang w:val="en-US"/>
        </w:rPr>
      </w:pPr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6.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Crespin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S.R. What does the future hold for diabetic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dyslipidaemia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? //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Acta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Diabetol.-2001.-№ 38.-P.21-26.</w:t>
      </w:r>
    </w:p>
    <w:p w:rsidR="00150BFC" w:rsidRPr="00723325" w:rsidRDefault="00150BFC" w:rsidP="00723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7. Bella J.N.,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Palmieri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V.,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Kitzman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 D.W., Liu J.E. et al. Gender difference in diastolic function in hypertension // Amer. J. </w:t>
      </w:r>
      <w:proofErr w:type="spellStart"/>
      <w:r w:rsidRPr="00723325">
        <w:rPr>
          <w:rFonts w:cs="Times New Roman"/>
          <w:color w:val="000000" w:themeColor="text1"/>
          <w:sz w:val="16"/>
          <w:szCs w:val="16"/>
          <w:lang w:val="en-US"/>
        </w:rPr>
        <w:t>Cardiol</w:t>
      </w:r>
      <w:proofErr w:type="spellEnd"/>
      <w:r w:rsidRPr="00723325">
        <w:rPr>
          <w:rFonts w:cs="Times New Roman"/>
          <w:color w:val="000000" w:themeColor="text1"/>
          <w:sz w:val="16"/>
          <w:szCs w:val="16"/>
          <w:lang w:val="en-US"/>
        </w:rPr>
        <w:t xml:space="preserve">.- </w:t>
      </w:r>
      <w:r w:rsidRPr="00723325">
        <w:rPr>
          <w:rFonts w:cs="Times New Roman"/>
          <w:color w:val="000000" w:themeColor="text1"/>
          <w:sz w:val="16"/>
          <w:szCs w:val="16"/>
        </w:rPr>
        <w:t>2002.-</w:t>
      </w:r>
      <w:r w:rsidRPr="00723325">
        <w:rPr>
          <w:rFonts w:cs="Times New Roman"/>
          <w:color w:val="000000" w:themeColor="text1"/>
          <w:sz w:val="16"/>
          <w:szCs w:val="16"/>
          <w:lang w:val="en-US"/>
        </w:rPr>
        <w:t>Vol</w:t>
      </w:r>
      <w:r w:rsidRPr="00723325">
        <w:rPr>
          <w:rFonts w:cs="Times New Roman"/>
          <w:color w:val="000000" w:themeColor="text1"/>
          <w:sz w:val="16"/>
          <w:szCs w:val="16"/>
        </w:rPr>
        <w:t>. 89, № 1.-</w:t>
      </w:r>
      <w:r w:rsidRPr="00723325">
        <w:rPr>
          <w:rFonts w:cs="Times New Roman"/>
          <w:color w:val="000000" w:themeColor="text1"/>
          <w:sz w:val="16"/>
          <w:szCs w:val="16"/>
          <w:lang w:val="en-US"/>
        </w:rPr>
        <w:t>P</w:t>
      </w:r>
      <w:r w:rsidRPr="00723325">
        <w:rPr>
          <w:rFonts w:cs="Times New Roman"/>
          <w:color w:val="000000" w:themeColor="text1"/>
          <w:sz w:val="16"/>
          <w:szCs w:val="16"/>
        </w:rPr>
        <w:t>.1052-1056.</w:t>
      </w:r>
    </w:p>
    <w:p w:rsidR="005A3328" w:rsidRPr="00723325" w:rsidRDefault="005A3328" w:rsidP="00723325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sectPr w:rsidR="005A3328" w:rsidRPr="00723325" w:rsidSect="007233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FDD"/>
    <w:multiLevelType w:val="hybridMultilevel"/>
    <w:tmpl w:val="AC0012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0468"/>
    <w:multiLevelType w:val="hybridMultilevel"/>
    <w:tmpl w:val="7008799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B6226FB"/>
    <w:multiLevelType w:val="hybridMultilevel"/>
    <w:tmpl w:val="2DE2BB12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2AA23556"/>
    <w:multiLevelType w:val="hybridMultilevel"/>
    <w:tmpl w:val="A97EE9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E512556"/>
    <w:multiLevelType w:val="hybridMultilevel"/>
    <w:tmpl w:val="418AA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76B2B"/>
    <w:multiLevelType w:val="hybridMultilevel"/>
    <w:tmpl w:val="04EC0CE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2229E2"/>
    <w:multiLevelType w:val="hybridMultilevel"/>
    <w:tmpl w:val="F46C9B9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6F2212F"/>
    <w:multiLevelType w:val="hybridMultilevel"/>
    <w:tmpl w:val="A04068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27332"/>
    <w:rsid w:val="00027332"/>
    <w:rsid w:val="000372EB"/>
    <w:rsid w:val="000E14CE"/>
    <w:rsid w:val="00150BFC"/>
    <w:rsid w:val="001A21C9"/>
    <w:rsid w:val="002528EC"/>
    <w:rsid w:val="002C7C15"/>
    <w:rsid w:val="003B65B1"/>
    <w:rsid w:val="003D6174"/>
    <w:rsid w:val="0040121C"/>
    <w:rsid w:val="00420B2A"/>
    <w:rsid w:val="004B6A6D"/>
    <w:rsid w:val="004E12F3"/>
    <w:rsid w:val="005473B1"/>
    <w:rsid w:val="00550F41"/>
    <w:rsid w:val="0059284E"/>
    <w:rsid w:val="005A3328"/>
    <w:rsid w:val="00652231"/>
    <w:rsid w:val="007138A5"/>
    <w:rsid w:val="00723325"/>
    <w:rsid w:val="00784111"/>
    <w:rsid w:val="00822819"/>
    <w:rsid w:val="0083542B"/>
    <w:rsid w:val="00896D0B"/>
    <w:rsid w:val="009457D8"/>
    <w:rsid w:val="00A1416C"/>
    <w:rsid w:val="00B10EE5"/>
    <w:rsid w:val="00BB3C93"/>
    <w:rsid w:val="00BC67FF"/>
    <w:rsid w:val="00BD2BD9"/>
    <w:rsid w:val="00C04E63"/>
    <w:rsid w:val="00C93990"/>
    <w:rsid w:val="00C95A01"/>
    <w:rsid w:val="00CD69A6"/>
    <w:rsid w:val="00D02244"/>
    <w:rsid w:val="00D52DEB"/>
    <w:rsid w:val="00D91937"/>
    <w:rsid w:val="00F55EF4"/>
    <w:rsid w:val="00FA6CA0"/>
    <w:rsid w:val="00FC354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1"/>
  </w:style>
  <w:style w:type="paragraph" w:styleId="2">
    <w:name w:val="heading 2"/>
    <w:basedOn w:val="a"/>
    <w:next w:val="a"/>
    <w:link w:val="20"/>
    <w:qFormat/>
    <w:rsid w:val="00A1416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result3">
    <w:name w:val="ref_result3"/>
    <w:basedOn w:val="a0"/>
    <w:rsid w:val="00F55EF4"/>
    <w:rPr>
      <w:b w:val="0"/>
      <w:bCs w:val="0"/>
      <w:sz w:val="18"/>
      <w:szCs w:val="18"/>
    </w:rPr>
  </w:style>
  <w:style w:type="paragraph" w:styleId="21">
    <w:name w:val="Body Text 2"/>
    <w:basedOn w:val="a"/>
    <w:link w:val="22"/>
    <w:rsid w:val="00C939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939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B65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65B1"/>
  </w:style>
  <w:style w:type="paragraph" w:styleId="a5">
    <w:name w:val="Body Text Indent"/>
    <w:basedOn w:val="a"/>
    <w:link w:val="a6"/>
    <w:uiPriority w:val="99"/>
    <w:unhideWhenUsed/>
    <w:rsid w:val="00D52D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2DEB"/>
  </w:style>
  <w:style w:type="paragraph" w:styleId="3">
    <w:name w:val="Body Text Indent 3"/>
    <w:basedOn w:val="a"/>
    <w:link w:val="30"/>
    <w:uiPriority w:val="99"/>
    <w:semiHidden/>
    <w:unhideWhenUsed/>
    <w:rsid w:val="00BD2B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BD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14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1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BFC"/>
    <w:pPr>
      <w:autoSpaceDE w:val="0"/>
      <w:autoSpaceDN w:val="0"/>
      <w:adjustRightInd w:val="0"/>
      <w:spacing w:after="0" w:line="240" w:lineRule="auto"/>
    </w:pPr>
    <w:rPr>
      <w:rFonts w:ascii="MagistralC" w:hAnsi="MagistralC" w:cs="MagistralC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C35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33</cp:revision>
  <dcterms:created xsi:type="dcterms:W3CDTF">2012-05-22T12:54:00Z</dcterms:created>
  <dcterms:modified xsi:type="dcterms:W3CDTF">2012-07-14T06:47:00Z</dcterms:modified>
</cp:coreProperties>
</file>