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3A" w:rsidRPr="00B93B6B" w:rsidRDefault="000955FD" w:rsidP="00504AFF">
      <w:pPr>
        <w:widowControl/>
        <w:autoSpaceDE/>
        <w:autoSpaceDN/>
        <w:adjustRightInd/>
        <w:spacing w:line="192" w:lineRule="auto"/>
        <w:ind w:right="2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3B6B">
        <w:rPr>
          <w:rFonts w:asciiTheme="minorHAnsi" w:hAnsiTheme="minorHAnsi" w:cstheme="minorHAnsi"/>
          <w:b/>
          <w:color w:val="000000"/>
          <w:sz w:val="16"/>
          <w:szCs w:val="16"/>
        </w:rPr>
        <w:t>ЛАБОРАТОРНЫЕ  ИССЛЕДОВАНИЯ  В ОФТАЛЬМОЛОГИИ</w:t>
      </w:r>
    </w:p>
    <w:p w:rsidR="00712D3A" w:rsidRPr="00B93B6B" w:rsidRDefault="000955FD" w:rsidP="00504AFF">
      <w:pPr>
        <w:widowControl/>
        <w:autoSpaceDE/>
        <w:autoSpaceDN/>
        <w:adjustRightInd/>
        <w:spacing w:line="192" w:lineRule="auto"/>
        <w:ind w:right="2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proofErr w:type="spellStart"/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>Краморенко</w:t>
      </w:r>
      <w:proofErr w:type="spellEnd"/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Ю.С., </w:t>
      </w:r>
      <w:proofErr w:type="spellStart"/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>Азнабакиева</w:t>
      </w:r>
      <w:proofErr w:type="spellEnd"/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М.</w:t>
      </w:r>
      <w:r w:rsidR="0061404E" w:rsidRPr="00B93B6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М.</w:t>
      </w:r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>, Степанова И. С.</w:t>
      </w:r>
    </w:p>
    <w:p w:rsidR="00B93B6B" w:rsidRPr="00B93B6B" w:rsidRDefault="00B93B6B" w:rsidP="00504AFF">
      <w:pPr>
        <w:widowControl/>
        <w:autoSpaceDE/>
        <w:autoSpaceDN/>
        <w:adjustRightInd/>
        <w:spacing w:line="192" w:lineRule="auto"/>
        <w:ind w:right="2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B93B6B">
        <w:rPr>
          <w:rFonts w:asciiTheme="minorHAnsi" w:eastAsia="Times New Roman" w:hAnsiTheme="minorHAnsi" w:cstheme="minorHAnsi"/>
          <w:i/>
          <w:color w:val="000000" w:themeColor="text1"/>
          <w:sz w:val="16"/>
          <w:szCs w:val="16"/>
        </w:rPr>
        <w:t>Казахский научно-исследовательский институт  глазных болезней</w:t>
      </w:r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 </w:t>
      </w:r>
      <w:proofErr w:type="gramStart"/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>г</w:t>
      </w:r>
      <w:proofErr w:type="gramEnd"/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. </w:t>
      </w:r>
      <w:proofErr w:type="spellStart"/>
      <w:r w:rsidRPr="00B93B6B">
        <w:rPr>
          <w:rFonts w:asciiTheme="minorHAnsi" w:hAnsiTheme="minorHAnsi" w:cstheme="minorHAnsi"/>
          <w:i/>
          <w:color w:val="000000"/>
          <w:sz w:val="16"/>
          <w:szCs w:val="16"/>
        </w:rPr>
        <w:t>Алматы</w:t>
      </w:r>
      <w:proofErr w:type="spellEnd"/>
    </w:p>
    <w:p w:rsidR="00B93B6B" w:rsidRPr="00504AFF" w:rsidRDefault="00B93B6B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</w:p>
    <w:p w:rsidR="00B93B6B" w:rsidRPr="00B93B6B" w:rsidRDefault="00B93B6B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В статье сообщается о </w:t>
      </w:r>
      <w:proofErr w:type="spellStart"/>
      <w:proofErr w:type="gramStart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клинико</w:t>
      </w:r>
      <w:proofErr w:type="spellEnd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– биохимических</w:t>
      </w:r>
      <w:proofErr w:type="gramEnd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исследованиях, проводимых у больных с </w:t>
      </w:r>
      <w:proofErr w:type="spellStart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офтальмопатологией</w:t>
      </w:r>
      <w:proofErr w:type="spellEnd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, в частности диабетической </w:t>
      </w:r>
      <w:proofErr w:type="spellStart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ретинопатией</w:t>
      </w:r>
      <w:proofErr w:type="spellEnd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, в лаборатории  научно-исследовательского института глазных болезней.</w:t>
      </w:r>
    </w:p>
    <w:p w:rsidR="00B93B6B" w:rsidRPr="00B93B6B" w:rsidRDefault="00B93B6B" w:rsidP="00504AFF">
      <w:pPr>
        <w:widowControl/>
        <w:autoSpaceDE/>
        <w:autoSpaceDN/>
        <w:adjustRightInd/>
        <w:spacing w:line="192" w:lineRule="auto"/>
        <w:ind w:right="2"/>
        <w:rPr>
          <w:rFonts w:asciiTheme="minorHAnsi" w:hAnsiTheme="minorHAnsi" w:cstheme="minorHAnsi"/>
          <w:color w:val="000000"/>
          <w:sz w:val="16"/>
          <w:szCs w:val="16"/>
        </w:rPr>
      </w:pPr>
      <w:r w:rsidRPr="00B93B6B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Ключевые слова: </w:t>
      </w:r>
      <w:proofErr w:type="gramStart"/>
      <w:r w:rsidRPr="00B93B6B">
        <w:rPr>
          <w:rFonts w:asciiTheme="minorHAnsi" w:hAnsiTheme="minorHAnsi" w:cstheme="minorHAnsi"/>
          <w:color w:val="000000"/>
          <w:sz w:val="16"/>
          <w:szCs w:val="16"/>
        </w:rPr>
        <w:t>диабетическая</w:t>
      </w:r>
      <w:proofErr w:type="gramEnd"/>
      <w:r w:rsidRPr="00B93B6B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B93B6B">
        <w:rPr>
          <w:rFonts w:asciiTheme="minorHAnsi" w:hAnsiTheme="minorHAnsi" w:cstheme="minorHAnsi"/>
          <w:color w:val="000000"/>
          <w:sz w:val="16"/>
          <w:szCs w:val="16"/>
        </w:rPr>
        <w:t>ретинопатия</w:t>
      </w:r>
      <w:proofErr w:type="spellEnd"/>
      <w:r w:rsidRPr="00B93B6B">
        <w:rPr>
          <w:rFonts w:asciiTheme="minorHAnsi" w:hAnsiTheme="minorHAnsi" w:cstheme="minorHAnsi"/>
          <w:color w:val="000000"/>
          <w:sz w:val="16"/>
          <w:szCs w:val="16"/>
        </w:rPr>
        <w:t>, биохимические маркеры, липиды,  иммуноглобулины, СОЭ.</w:t>
      </w:r>
    </w:p>
    <w:p w:rsidR="00B93B6B" w:rsidRPr="00504AFF" w:rsidRDefault="00B93B6B" w:rsidP="00504AFF">
      <w:pPr>
        <w:widowControl/>
        <w:tabs>
          <w:tab w:val="left" w:pos="709"/>
        </w:tabs>
        <w:autoSpaceDE/>
        <w:autoSpaceDN/>
        <w:adjustRightInd/>
        <w:spacing w:line="192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7119C8" w:rsidRPr="00B93B6B" w:rsidRDefault="00871802" w:rsidP="00504AFF">
      <w:pPr>
        <w:widowControl/>
        <w:tabs>
          <w:tab w:val="left" w:pos="709"/>
        </w:tabs>
        <w:autoSpaceDE/>
        <w:autoSpaceDN/>
        <w:adjustRightInd/>
        <w:spacing w:line="192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Лабораторные исследования необходимы на всех этапах оказания медицинской помощи – при уточнении диагноза</w:t>
      </w:r>
      <w:r w:rsidR="00B952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B952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о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ценке эффективности лечения и прогнозе заболевания</w:t>
      </w:r>
      <w:r w:rsidR="00B952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 при этом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B952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главным приоритетом является стандартизация исследований в лабораториях различного профиля. </w:t>
      </w:r>
    </w:p>
    <w:p w:rsidR="006D44D8" w:rsidRPr="00B93B6B" w:rsidRDefault="00B95223" w:rsidP="00504AFF">
      <w:pPr>
        <w:widowControl/>
        <w:tabs>
          <w:tab w:val="left" w:pos="709"/>
        </w:tabs>
        <w:autoSpaceDE/>
        <w:autoSpaceDN/>
        <w:adjustRightInd/>
        <w:spacing w:line="192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В клинико-диагностической лаборатории  </w:t>
      </w:r>
      <w:proofErr w:type="spellStart"/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КазНИИ</w:t>
      </w:r>
      <w:proofErr w:type="spellEnd"/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глазных болезней в полном объеме проводятся биохимические исследования и клинический анализ крови </w:t>
      </w:r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и мочи. В связи с тем, что б</w:t>
      </w:r>
      <w:r w:rsidR="0087180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ольным с </w:t>
      </w:r>
      <w:proofErr w:type="spellStart"/>
      <w:r w:rsidR="0087180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офтальмопатологией</w:t>
      </w:r>
      <w:proofErr w:type="spellEnd"/>
      <w:r w:rsidR="0087180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требуется проводить не только </w:t>
      </w:r>
      <w:proofErr w:type="spellStart"/>
      <w:r w:rsidR="0087180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общеклинические</w:t>
      </w:r>
      <w:proofErr w:type="spellEnd"/>
      <w:r w:rsidR="0087180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 но и специальные лабораторны</w:t>
      </w:r>
      <w:r w:rsidR="00C347D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е анализы крови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0955FD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36425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 лаборатории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813A3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выполня</w:t>
      </w:r>
      <w:r w:rsidR="00C347D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ют</w:t>
      </w:r>
      <w:r w:rsidR="00813A3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ся </w:t>
      </w:r>
      <w:proofErr w:type="spellStart"/>
      <w:r w:rsidR="00813A3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коагулогические</w:t>
      </w:r>
      <w:proofErr w:type="spellEnd"/>
      <w:r w:rsidR="00813A3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исследования</w:t>
      </w:r>
      <w:r w:rsidR="00C347D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813A3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C347D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идет </w:t>
      </w:r>
      <w:r w:rsidR="00813A3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определение агрегации тромбоцитов</w:t>
      </w:r>
      <w:r w:rsidR="00C347D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уровня </w:t>
      </w:r>
      <w:proofErr w:type="spellStart"/>
      <w:r w:rsidR="00C347D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гликозилированного</w:t>
      </w:r>
      <w:proofErr w:type="spellEnd"/>
      <w:r w:rsidR="00C347D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гемоглобина</w:t>
      </w:r>
      <w:r w:rsidR="00813A3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r w:rsidR="0087180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13A31" w:rsidRPr="00B93B6B" w:rsidRDefault="00813A31" w:rsidP="00504AFF">
      <w:pPr>
        <w:widowControl/>
        <w:tabs>
          <w:tab w:val="left" w:pos="993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proofErr w:type="gramStart"/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Основное направление научной деятельности - изучение клинико-биохимических показателей</w:t>
      </w:r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при различной </w:t>
      </w:r>
      <w:proofErr w:type="spellStart"/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офтальмопатологии</w:t>
      </w:r>
      <w:proofErr w:type="spellEnd"/>
      <w:r w:rsidR="006D44D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w:r w:rsidR="006D44D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определение лабораторных критериев контроля эффективности новых методов лечения и прогноза заболеваний,  исследование липидного обмена при заболеваниях глаз,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связанных с общей патологией</w:t>
      </w:r>
      <w:r w:rsidR="002514DF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: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514D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артериальной гипертонией, атеросклерозом, сахарным  диабетом,  наибольшая распространенность которых  характерна  для  лиц</w:t>
      </w:r>
      <w:r w:rsidR="00C347D4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="002514D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старшей</w:t>
      </w:r>
      <w:r w:rsidR="00C347D4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="002514D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возрастной</w:t>
      </w:r>
      <w:r w:rsidR="00364258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="002514D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группы.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proofErr w:type="gramEnd"/>
    </w:p>
    <w:p w:rsidR="00813A31" w:rsidRPr="00B93B6B" w:rsidRDefault="00813A31" w:rsidP="00504AFF">
      <w:pPr>
        <w:widowControl/>
        <w:tabs>
          <w:tab w:val="left" w:pos="993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В частности</w:t>
      </w:r>
      <w:r w:rsidR="002514D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,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разработан</w:t>
      </w:r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ный 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комплекс клинико-биохимических методов</w:t>
      </w:r>
      <w:r w:rsidR="00292021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(определение липидного спектра крови - ОХ, ТГ, ХС ЛПНП, ХС ЛПВП, и</w:t>
      </w:r>
      <w:r w:rsidR="00292021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конечного продукта перекисного окисления липидов — МДА) 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об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следования больных с </w:t>
      </w:r>
      <w:r w:rsidR="00C347D4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диабетической  </w:t>
      </w:r>
      <w:proofErr w:type="spellStart"/>
      <w:r w:rsidR="00C347D4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ретинопатией</w:t>
      </w:r>
      <w:proofErr w:type="spellEnd"/>
      <w:r w:rsidR="00C347D4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(</w:t>
      </w:r>
      <w:proofErr w:type="gramStart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ДР</w:t>
      </w:r>
      <w:proofErr w:type="gramEnd"/>
      <w:r w:rsidR="00C347D4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)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, указывающий на распространенность и глубину патологических изменений в сетчатке </w:t>
      </w:r>
      <w:r w:rsidR="00C347D4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офтальмологических больных</w:t>
      </w:r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,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расширяет возможности ранней диагностики </w:t>
      </w:r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Д</w:t>
      </w:r>
      <w:r w:rsidR="00292021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Р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, определяет схему лечения патогенетической направленности.  </w:t>
      </w:r>
    </w:p>
    <w:p w:rsidR="00B1284F" w:rsidRPr="00B93B6B" w:rsidRDefault="002514DF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На основании клинико-лабораторных исследований слезной жидкости</w:t>
      </w:r>
      <w:r w:rsidR="007263F0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в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ыявлен комплекс биохимических маркеров (МДА, глюкоза, белковый спектр), которые достоверно изменяются уже на ранних стадиях </w:t>
      </w:r>
      <w:proofErr w:type="gramStart"/>
      <w:r w:rsidR="00B1284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ДР</w:t>
      </w:r>
      <w:proofErr w:type="gramEnd"/>
      <w:r w:rsidR="007263F0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, </w:t>
      </w:r>
      <w:r w:rsidR="00760FCB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="00B1284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разработан «Способ диагностики</w:t>
      </w:r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диабетической </w:t>
      </w:r>
      <w:proofErr w:type="spellStart"/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ретинопатии</w:t>
      </w:r>
      <w:proofErr w:type="spellEnd"/>
      <w:r w:rsidR="00BB5CF2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»</w:t>
      </w:r>
      <w:r w:rsidR="00B1284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.</w:t>
      </w:r>
    </w:p>
    <w:p w:rsidR="00930E25" w:rsidRPr="00B93B6B" w:rsidRDefault="00B1284F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Определены</w:t>
      </w:r>
      <w:r w:rsidR="002514D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иммунологические маркеры активности течения заболевания: сдвиг его основных показателей в сторону повышени</w:t>
      </w:r>
      <w:r w:rsidR="00543E49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я </w:t>
      </w:r>
      <w:r w:rsidR="002514D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уровн</w:t>
      </w:r>
      <w:r w:rsidR="00543E49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я</w:t>
      </w:r>
      <w:r w:rsidR="002514DF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иммуноглобулинов G, М при одновременном снижении продукции основного «защитного» иммуноглобулина А.  Это расценивается нами как явно неблагоприятный фактор.</w:t>
      </w:r>
      <w:r w:rsidR="00A0410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Разработан  и предложен для практической работы офтальмологов алгоритм клинико-лабораторной диагностики</w:t>
      </w:r>
      <w:r w:rsidR="00787AF8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,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оценки эффективности терапии </w:t>
      </w:r>
      <w:proofErr w:type="gramStart"/>
      <w:r w:rsidR="00787AF8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ДР</w:t>
      </w:r>
      <w:proofErr w:type="gramEnd"/>
      <w:r w:rsidR="00787AF8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с использованием антиок</w:t>
      </w:r>
      <w:r w:rsidR="00787AF8"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с</w:t>
      </w: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идантов  и  </w:t>
      </w:r>
      <w:proofErr w:type="spellStart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липотропных</w:t>
      </w:r>
      <w:proofErr w:type="spellEnd"/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препаратов.</w:t>
      </w:r>
    </w:p>
    <w:p w:rsidR="00790611" w:rsidRPr="00B93B6B" w:rsidRDefault="00421F71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Ежегодно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60FCB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в 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60FCB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лаборатории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60FCB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выполняется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более</w:t>
      </w:r>
      <w:r w:rsidR="001208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10 тысяч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кл</w:t>
      </w:r>
      <w:r w:rsidR="00DF3A49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инико</w:t>
      </w:r>
      <w:proofErr w:type="spellEnd"/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–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DF3A49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биохимических</w:t>
      </w:r>
      <w:proofErr w:type="gramEnd"/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w:r w:rsidR="00DF3A49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анализов 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у 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пациентов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263F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с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глазной </w:t>
      </w:r>
      <w:r w:rsidR="00665E2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</w:t>
      </w:r>
      <w:r w:rsidR="007263F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патологией</w:t>
      </w:r>
      <w:r w:rsidR="00BB5C2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в возрасте от полугода до 70 лет и старше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 качестве контроля используются  данные</w:t>
      </w:r>
      <w:r w:rsidR="007263F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E907B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формы 224/у, утвержденной приказом МЗРК 08.07.05 №234</w:t>
      </w:r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r w:rsidR="00E907B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BB5C23" w:rsidRPr="00B93B6B" w:rsidRDefault="007119C8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Вместе с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тем, и</w:t>
      </w:r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звестн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о</w:t>
      </w:r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зависимо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е от возраста</w:t>
      </w:r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изменени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е</w:t>
      </w:r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показателей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а также </w:t>
      </w:r>
      <w:proofErr w:type="spellStart"/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внутрииндивидуальная</w:t>
      </w:r>
      <w:proofErr w:type="spellEnd"/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вариабельность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триглицеридов</w:t>
      </w:r>
      <w:proofErr w:type="spellEnd"/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1A7D09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холестерина, глюкозы, гемоглобина</w:t>
      </w:r>
      <w:r w:rsidR="001A7D09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 альбумина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и др.</w:t>
      </w:r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(</w:t>
      </w:r>
      <w:proofErr w:type="spellStart"/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Сейдаулиева</w:t>
      </w:r>
      <w:proofErr w:type="spellEnd"/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Б.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С.</w:t>
      </w:r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 201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1</w:t>
      </w:r>
      <w:r w:rsidR="004277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).</w:t>
      </w:r>
      <w:r w:rsidR="007263F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7263F0" w:rsidRPr="00B93B6B" w:rsidRDefault="004277C7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proofErr w:type="gramStart"/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В </w:t>
      </w:r>
      <w:r w:rsidR="00421F7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результате</w:t>
      </w:r>
      <w:r w:rsidR="008B491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421F7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проведенных </w:t>
      </w:r>
      <w:r w:rsidR="00543E49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нами </w:t>
      </w:r>
      <w:r w:rsidR="00421F7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лабораторных исследований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на примере СОЭ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(этот показатель при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госпитализации на хирургическое лечение долж</w:t>
      </w:r>
      <w:r w:rsidR="008B491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е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н быть в пределах нормы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8B491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установл</w:t>
      </w:r>
      <w:r w:rsidR="00543E49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ено</w:t>
      </w:r>
      <w:r w:rsidR="008B491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:</w:t>
      </w:r>
      <w:r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если в возрасте до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40 лет СОЭ в пределах 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нормы (мужчины - </w:t>
      </w:r>
      <w:r w:rsidR="00BA388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2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–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1208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10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женщин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ы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– </w:t>
      </w:r>
      <w:r w:rsidR="00BA3883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2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- 15 мм/час),</w:t>
      </w:r>
      <w:r w:rsidR="001208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определял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а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сь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0955FD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80% 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случаев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79061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в возрасте 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40-50 лет 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–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9202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в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63%, </w:t>
      </w:r>
      <w:r w:rsidR="007263F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то</w:t>
      </w:r>
      <w:r w:rsidR="00665E2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у больных старше 60 лет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наоборот,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показатель  СОЭ  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выше</w:t>
      </w:r>
      <w:proofErr w:type="gramEnd"/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15-2</w:t>
      </w:r>
      <w:r w:rsidR="008B4910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0 мм/час  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отмечался  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7</w:t>
      </w:r>
      <w:r w:rsidR="004A5E24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0%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случаев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что</w:t>
      </w:r>
      <w:r w:rsidR="000955FD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по-видимому</w:t>
      </w:r>
      <w:r w:rsidR="000955FD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является проявлением </w:t>
      </w:r>
      <w:proofErr w:type="spellStart"/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гериартрических</w:t>
      </w:r>
      <w:proofErr w:type="spellEnd"/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изменений в организме пожилых больных</w:t>
      </w:r>
      <w:r w:rsidR="00661AB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661AB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В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связи с </w:t>
      </w:r>
      <w:r w:rsidR="00661AB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этим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считаем, что </w:t>
      </w:r>
      <w:r w:rsidR="00655D7E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необходим</w:t>
      </w:r>
      <w:r w:rsidR="00E907B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не только </w:t>
      </w:r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BB5CF2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индивидуальный подход в интерпретации результатов исследования, </w:t>
      </w:r>
      <w:r w:rsidR="00E907B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но и 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разработк</w:t>
      </w:r>
      <w:r w:rsidR="007119C8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а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контрольных значений </w:t>
      </w:r>
      <w:r w:rsidR="009944C7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«зависимых от возраста» </w:t>
      </w:r>
      <w:r w:rsidR="001B7561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>лабораторных анализов</w:t>
      </w:r>
      <w:r w:rsidR="00280B1C" w:rsidRPr="00B93B6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655D7E" w:rsidRPr="00B93B6B" w:rsidRDefault="00655D7E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93B6B"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</w:p>
    <w:p w:rsidR="00E907B8" w:rsidRPr="00B93B6B" w:rsidRDefault="00E575AE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B93B6B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     </w:t>
      </w:r>
    </w:p>
    <w:p w:rsidR="00457773" w:rsidRPr="00457773" w:rsidRDefault="00457773" w:rsidP="00457773">
      <w:pPr>
        <w:widowControl/>
        <w:autoSpaceDE/>
        <w:autoSpaceDN/>
        <w:adjustRightInd/>
        <w:spacing w:line="192" w:lineRule="auto"/>
        <w:rPr>
          <w:rFonts w:asciiTheme="minorHAnsi" w:eastAsia="Times New Roman" w:hAnsiTheme="minorHAnsi" w:cstheme="minorHAnsi"/>
          <w:sz w:val="16"/>
          <w:szCs w:val="16"/>
          <w:lang w:val="en-US"/>
        </w:rPr>
      </w:pPr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LABORATORY STUDIES IN OPHTHALMOLOGY</w:t>
      </w:r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br/>
      </w:r>
      <w:proofErr w:type="spellStart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Kramorenko</w:t>
      </w:r>
      <w:proofErr w:type="spellEnd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 xml:space="preserve"> YS, </w:t>
      </w:r>
      <w:proofErr w:type="spellStart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Aznabakieva</w:t>
      </w:r>
      <w:proofErr w:type="spellEnd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 xml:space="preserve"> MM, </w:t>
      </w:r>
      <w:proofErr w:type="spellStart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Stepanova</w:t>
      </w:r>
      <w:proofErr w:type="spellEnd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, JS</w:t>
      </w:r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br/>
        <w:t xml:space="preserve">Kazakh Research Institute of Eye Diseases, </w:t>
      </w:r>
      <w:proofErr w:type="spellStart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Almaty</w:t>
      </w:r>
      <w:proofErr w:type="spellEnd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br/>
        <w:t xml:space="preserve">The article reports on the clinical - biochemical studies conducted in patients with </w:t>
      </w:r>
      <w:proofErr w:type="spellStart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ophthalmopathology</w:t>
      </w:r>
      <w:proofErr w:type="spellEnd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, in particular diabetic retinopathy in laboratory research institute of eye diseases.</w:t>
      </w:r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br/>
        <w:t xml:space="preserve">Keywords: diabetic retinopathy, biochemical markers, lipids, </w:t>
      </w:r>
      <w:proofErr w:type="spellStart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immunoglobulins</w:t>
      </w:r>
      <w:proofErr w:type="spellEnd"/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, erythrocyte sedimentation rate.</w:t>
      </w:r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br/>
        <w:t xml:space="preserve">Laboratory studies are needed at all stages of </w:t>
      </w:r>
      <w:proofErr w:type="spellStart"/>
      <w:r>
        <w:rPr>
          <w:rFonts w:asciiTheme="minorHAnsi" w:eastAsia="Times New Roman" w:hAnsiTheme="minorHAnsi" w:cstheme="minorHAnsi"/>
          <w:sz w:val="16"/>
          <w:szCs w:val="16"/>
          <w:lang/>
        </w:rPr>
        <w:t>mtdical</w:t>
      </w:r>
      <w:proofErr w:type="spellEnd"/>
      <w:r>
        <w:rPr>
          <w:rFonts w:asciiTheme="minorHAnsi" w:eastAsia="Times New Roman" w:hAnsiTheme="minorHAnsi" w:cstheme="minorHAnsi"/>
          <w:sz w:val="16"/>
          <w:szCs w:val="16"/>
          <w:lang/>
        </w:rPr>
        <w:t xml:space="preserve"> </w:t>
      </w:r>
      <w:r w:rsidRPr="00457773">
        <w:rPr>
          <w:rFonts w:asciiTheme="minorHAnsi" w:eastAsia="Times New Roman" w:hAnsiTheme="minorHAnsi" w:cstheme="minorHAnsi"/>
          <w:sz w:val="16"/>
          <w:szCs w:val="16"/>
          <w:lang/>
        </w:rPr>
        <w:t>care - in the refinement of the diagnosis, evaluation of the effectiveness of treatment and prognosis of the disease, with the main priority is the standardization of research laboratories in various fields.</w:t>
      </w:r>
    </w:p>
    <w:p w:rsidR="00E907B8" w:rsidRPr="00457773" w:rsidRDefault="00E907B8" w:rsidP="00457773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val="en-US"/>
        </w:rPr>
      </w:pPr>
    </w:p>
    <w:p w:rsidR="00E907B8" w:rsidRPr="00457773" w:rsidRDefault="00E907B8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val="en-US"/>
        </w:rPr>
      </w:pPr>
    </w:p>
    <w:p w:rsidR="00E907B8" w:rsidRPr="00457773" w:rsidRDefault="00E907B8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val="en-US"/>
        </w:rPr>
      </w:pPr>
    </w:p>
    <w:p w:rsidR="00E907B8" w:rsidRPr="00457773" w:rsidRDefault="00E907B8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val="en-US"/>
        </w:rPr>
      </w:pPr>
    </w:p>
    <w:p w:rsidR="00E907B8" w:rsidRPr="00457773" w:rsidRDefault="00E907B8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val="en-US"/>
        </w:rPr>
      </w:pPr>
    </w:p>
    <w:p w:rsidR="00E907B8" w:rsidRPr="00457773" w:rsidRDefault="00E907B8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val="en-US"/>
        </w:rPr>
      </w:pPr>
    </w:p>
    <w:p w:rsidR="00E907B8" w:rsidRPr="00457773" w:rsidRDefault="00E907B8" w:rsidP="00504AFF">
      <w:pPr>
        <w:widowControl/>
        <w:tabs>
          <w:tab w:val="left" w:pos="1134"/>
        </w:tabs>
        <w:autoSpaceDE/>
        <w:autoSpaceDN/>
        <w:adjustRightInd/>
        <w:spacing w:line="192" w:lineRule="auto"/>
        <w:ind w:right="2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val="en-US"/>
        </w:rPr>
      </w:pPr>
    </w:p>
    <w:sectPr w:rsidR="00E907B8" w:rsidRPr="00457773" w:rsidSect="00B93B6B">
      <w:type w:val="continuous"/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157"/>
    <w:multiLevelType w:val="multilevel"/>
    <w:tmpl w:val="21F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4F85"/>
    <w:multiLevelType w:val="singleLevel"/>
    <w:tmpl w:val="C01463E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609B"/>
    <w:rsid w:val="000251F8"/>
    <w:rsid w:val="000955FD"/>
    <w:rsid w:val="000E1775"/>
    <w:rsid w:val="00120861"/>
    <w:rsid w:val="001A7D09"/>
    <w:rsid w:val="001B7561"/>
    <w:rsid w:val="0020563B"/>
    <w:rsid w:val="002514DF"/>
    <w:rsid w:val="00280B1C"/>
    <w:rsid w:val="00292021"/>
    <w:rsid w:val="002D443B"/>
    <w:rsid w:val="002D609B"/>
    <w:rsid w:val="00321A38"/>
    <w:rsid w:val="003410A6"/>
    <w:rsid w:val="00364258"/>
    <w:rsid w:val="00421F71"/>
    <w:rsid w:val="004277C7"/>
    <w:rsid w:val="004536F7"/>
    <w:rsid w:val="00457773"/>
    <w:rsid w:val="00462109"/>
    <w:rsid w:val="004A5E24"/>
    <w:rsid w:val="00504AFF"/>
    <w:rsid w:val="00543E49"/>
    <w:rsid w:val="0061404E"/>
    <w:rsid w:val="00655D7E"/>
    <w:rsid w:val="00661AB8"/>
    <w:rsid w:val="00664279"/>
    <w:rsid w:val="00665E22"/>
    <w:rsid w:val="006D44D8"/>
    <w:rsid w:val="007119C8"/>
    <w:rsid w:val="00712D3A"/>
    <w:rsid w:val="007263F0"/>
    <w:rsid w:val="00760FCB"/>
    <w:rsid w:val="00787AF8"/>
    <w:rsid w:val="00790611"/>
    <w:rsid w:val="00813A31"/>
    <w:rsid w:val="00871802"/>
    <w:rsid w:val="008B4910"/>
    <w:rsid w:val="0090539F"/>
    <w:rsid w:val="00930E25"/>
    <w:rsid w:val="009944C7"/>
    <w:rsid w:val="009F7077"/>
    <w:rsid w:val="00A04103"/>
    <w:rsid w:val="00B1284F"/>
    <w:rsid w:val="00B22B2D"/>
    <w:rsid w:val="00B23AC6"/>
    <w:rsid w:val="00B552C2"/>
    <w:rsid w:val="00B93B6B"/>
    <w:rsid w:val="00B95223"/>
    <w:rsid w:val="00BA3883"/>
    <w:rsid w:val="00BB22D6"/>
    <w:rsid w:val="00BB5C23"/>
    <w:rsid w:val="00BB5CF2"/>
    <w:rsid w:val="00BE5193"/>
    <w:rsid w:val="00BF2197"/>
    <w:rsid w:val="00C347D4"/>
    <w:rsid w:val="00CE7C6B"/>
    <w:rsid w:val="00D00741"/>
    <w:rsid w:val="00D112B0"/>
    <w:rsid w:val="00D30697"/>
    <w:rsid w:val="00DF3A49"/>
    <w:rsid w:val="00E00B58"/>
    <w:rsid w:val="00E575AE"/>
    <w:rsid w:val="00E82F98"/>
    <w:rsid w:val="00E907B8"/>
    <w:rsid w:val="00E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57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9B57-C338-4934-B720-CEAFF5ED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18</cp:revision>
  <cp:lastPrinted>2012-05-11T05:46:00Z</cp:lastPrinted>
  <dcterms:created xsi:type="dcterms:W3CDTF">2012-04-26T09:22:00Z</dcterms:created>
  <dcterms:modified xsi:type="dcterms:W3CDTF">2012-07-15T19:15:00Z</dcterms:modified>
</cp:coreProperties>
</file>