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DF" w:rsidRPr="00AD0B3C" w:rsidRDefault="00A420DF" w:rsidP="00AD0B3C">
      <w:pPr>
        <w:spacing w:after="0" w:line="240" w:lineRule="auto"/>
        <w:jc w:val="center"/>
        <w:rPr>
          <w:rFonts w:asciiTheme="minorHAnsi" w:hAnsiTheme="minorHAnsi"/>
          <w:b/>
          <w:color w:val="000000"/>
          <w:sz w:val="16"/>
          <w:szCs w:val="16"/>
          <w:lang w:val="en-US"/>
        </w:rPr>
      </w:pPr>
      <w:r w:rsidRPr="00AD0B3C">
        <w:rPr>
          <w:rFonts w:asciiTheme="minorHAnsi" w:hAnsiTheme="minorHAnsi"/>
          <w:b/>
          <w:color w:val="000000"/>
          <w:sz w:val="16"/>
          <w:szCs w:val="16"/>
        </w:rPr>
        <w:t xml:space="preserve">ХИРУРГИЧЕСКОЕ ЛЕЧЕНИЕ </w:t>
      </w:r>
      <w:r w:rsidR="00D94384" w:rsidRPr="00AD0B3C">
        <w:rPr>
          <w:rFonts w:asciiTheme="minorHAnsi" w:hAnsiTheme="minorHAnsi"/>
          <w:b/>
          <w:color w:val="000000"/>
          <w:sz w:val="16"/>
          <w:szCs w:val="16"/>
        </w:rPr>
        <w:t xml:space="preserve"> </w:t>
      </w:r>
      <w:r w:rsidRPr="00AD0B3C">
        <w:rPr>
          <w:rFonts w:asciiTheme="minorHAnsi" w:hAnsiTheme="minorHAnsi"/>
          <w:b/>
          <w:color w:val="000000"/>
          <w:sz w:val="16"/>
          <w:szCs w:val="16"/>
        </w:rPr>
        <w:t>РАК</w:t>
      </w:r>
      <w:r w:rsidR="00F911CA" w:rsidRPr="00AD0B3C">
        <w:rPr>
          <w:rFonts w:asciiTheme="minorHAnsi" w:hAnsiTheme="minorHAnsi"/>
          <w:b/>
          <w:color w:val="000000"/>
          <w:sz w:val="16"/>
          <w:szCs w:val="16"/>
        </w:rPr>
        <w:t>А</w:t>
      </w:r>
      <w:r w:rsidR="00AD0B3C" w:rsidRPr="00AD0B3C">
        <w:rPr>
          <w:rFonts w:asciiTheme="minorHAnsi" w:hAnsiTheme="minorHAnsi"/>
          <w:b/>
          <w:color w:val="000000"/>
          <w:sz w:val="16"/>
          <w:szCs w:val="16"/>
        </w:rPr>
        <w:t xml:space="preserve"> ЖЕЛУДКА</w:t>
      </w:r>
    </w:p>
    <w:p w:rsidR="00A420DF" w:rsidRPr="00AD0B3C" w:rsidRDefault="00A420DF" w:rsidP="00AD0B3C">
      <w:pPr>
        <w:pStyle w:val="a3"/>
        <w:spacing w:before="0" w:after="0"/>
        <w:jc w:val="center"/>
        <w:rPr>
          <w:rFonts w:asciiTheme="minorHAnsi" w:hAnsiTheme="minorHAnsi"/>
          <w:bCs/>
          <w:i/>
          <w:sz w:val="16"/>
          <w:szCs w:val="16"/>
        </w:rPr>
      </w:pPr>
      <w:r w:rsidRPr="00AD0B3C">
        <w:rPr>
          <w:rFonts w:asciiTheme="minorHAnsi" w:hAnsiTheme="minorHAnsi"/>
          <w:bCs/>
          <w:i/>
          <w:sz w:val="16"/>
          <w:szCs w:val="16"/>
        </w:rPr>
        <w:t>Рахов С.Б.</w:t>
      </w:r>
    </w:p>
    <w:p w:rsidR="00A420DF" w:rsidRPr="00AD0B3C" w:rsidRDefault="00A420DF" w:rsidP="00AD0B3C">
      <w:pPr>
        <w:pStyle w:val="a3"/>
        <w:spacing w:before="0" w:after="0"/>
        <w:jc w:val="center"/>
        <w:rPr>
          <w:rFonts w:asciiTheme="minorHAnsi" w:hAnsiTheme="minorHAnsi"/>
          <w:bCs/>
          <w:i/>
          <w:sz w:val="16"/>
          <w:szCs w:val="16"/>
        </w:rPr>
      </w:pPr>
      <w:r w:rsidRPr="00AD0B3C">
        <w:rPr>
          <w:rFonts w:asciiTheme="minorHAnsi" w:hAnsiTheme="minorHAnsi"/>
          <w:bCs/>
          <w:i/>
          <w:sz w:val="16"/>
          <w:szCs w:val="16"/>
        </w:rPr>
        <w:t>Алматинская многопрофильная клиническая больница</w:t>
      </w:r>
    </w:p>
    <w:p w:rsidR="00A420DF" w:rsidRPr="00AD0B3C" w:rsidRDefault="00A420DF" w:rsidP="00AD0B3C">
      <w:pPr>
        <w:pStyle w:val="a3"/>
        <w:spacing w:before="0" w:after="0"/>
        <w:jc w:val="center"/>
        <w:rPr>
          <w:rFonts w:asciiTheme="minorHAnsi" w:hAnsiTheme="minorHAnsi"/>
          <w:bCs/>
          <w:sz w:val="16"/>
          <w:szCs w:val="16"/>
        </w:rPr>
      </w:pPr>
    </w:p>
    <w:p w:rsidR="00A420DF" w:rsidRPr="00AD0B3C" w:rsidRDefault="00A420DF" w:rsidP="00AD0B3C">
      <w:pPr>
        <w:pStyle w:val="a3"/>
        <w:spacing w:before="0" w:after="0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>С целью формирования эзофагоэнтероанастомоза после гастрэктомии, при раке желудка, разработан и внедрен в клинике новый способ гастрэктомии при раке желудка, позволяющий снизить вероятность несостоятельности анастомоза и предотвратить развитие рефлюкс-эзофагита.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 xml:space="preserve">По данной методике выполнено 37 гастрэктомий, несостоятельности анастомоза не отмечено ни в одном случае.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>Ключевые слова: рак желудка, гастрэктомия, эзофагоэнтероанастомоз, рефлюкс гастрит.</w:t>
      </w:r>
    </w:p>
    <w:p w:rsidR="00AD0B3C" w:rsidRPr="00AD0B3C" w:rsidRDefault="00AD0B3C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AD0B3C" w:rsidRPr="00AD0B3C" w:rsidRDefault="00AD0B3C" w:rsidP="00AD0B3C">
      <w:pPr>
        <w:spacing w:after="0" w:line="240" w:lineRule="auto"/>
        <w:rPr>
          <w:rFonts w:asciiTheme="minorHAnsi" w:eastAsia="Times New Roman" w:hAnsiTheme="minorHAnsi"/>
          <w:sz w:val="16"/>
          <w:szCs w:val="16"/>
          <w:lang w:val="en-US" w:eastAsia="ru-RU"/>
        </w:rPr>
      </w:pPr>
      <w:r w:rsidRPr="00AD0B3C">
        <w:rPr>
          <w:rFonts w:asciiTheme="minorHAnsi" w:eastAsia="Times New Roman" w:hAnsiTheme="minorHAnsi"/>
          <w:b/>
          <w:sz w:val="16"/>
          <w:szCs w:val="16"/>
          <w:lang w:eastAsia="ru-RU"/>
        </w:rPr>
        <w:t>SURGICAL TREATMENT OF STOMACH CANCER</w:t>
      </w:r>
      <w:r w:rsidRPr="00AD0B3C">
        <w:rPr>
          <w:rFonts w:asciiTheme="minorHAnsi" w:eastAsia="Times New Roman" w:hAnsiTheme="minorHAnsi"/>
          <w:b/>
          <w:sz w:val="16"/>
          <w:szCs w:val="16"/>
          <w:lang w:eastAsia="ru-RU"/>
        </w:rPr>
        <w:br/>
      </w:r>
      <w:r w:rsidRPr="00AD0B3C">
        <w:rPr>
          <w:rFonts w:asciiTheme="minorHAnsi" w:eastAsia="Times New Roman" w:hAnsiTheme="minorHAnsi"/>
          <w:i/>
          <w:sz w:val="16"/>
          <w:szCs w:val="16"/>
          <w:lang w:eastAsia="ru-RU"/>
        </w:rPr>
        <w:t>Rakhov S.B.</w:t>
      </w:r>
      <w:r w:rsidRPr="00AD0B3C">
        <w:rPr>
          <w:rFonts w:asciiTheme="minorHAnsi" w:eastAsia="Times New Roman" w:hAnsiTheme="minorHAnsi"/>
          <w:i/>
          <w:sz w:val="16"/>
          <w:szCs w:val="16"/>
          <w:lang w:eastAsia="ru-RU"/>
        </w:rPr>
        <w:br/>
        <w:t>Almaty Multidisciplinary Hospital</w:t>
      </w:r>
      <w:r w:rsidRPr="00AD0B3C">
        <w:rPr>
          <w:rFonts w:asciiTheme="minorHAnsi" w:eastAsia="Times New Roman" w:hAnsiTheme="minorHAnsi"/>
          <w:i/>
          <w:sz w:val="16"/>
          <w:szCs w:val="16"/>
          <w:lang w:eastAsia="ru-RU"/>
        </w:rPr>
        <w:br/>
      </w:r>
      <w:r w:rsidRPr="00AD0B3C">
        <w:rPr>
          <w:rFonts w:asciiTheme="minorHAnsi" w:eastAsia="Times New Roman" w:hAnsiTheme="minorHAnsi"/>
          <w:sz w:val="16"/>
          <w:szCs w:val="16"/>
          <w:lang w:eastAsia="ru-RU"/>
        </w:rPr>
        <w:t>For the purpose of forming ezofagoenteroanas</w:t>
      </w:r>
      <w:r>
        <w:rPr>
          <w:rFonts w:asciiTheme="minorHAnsi" w:eastAsia="Times New Roman" w:hAnsiTheme="minorHAnsi"/>
          <w:sz w:val="16"/>
          <w:szCs w:val="16"/>
          <w:lang w:eastAsia="ru-RU"/>
        </w:rPr>
        <w:t>tomoz</w:t>
      </w:r>
      <w:r w:rsidRPr="00AD0B3C">
        <w:rPr>
          <w:rFonts w:asciiTheme="minorHAnsi" w:eastAsia="Times New Roman" w:hAnsiTheme="minorHAnsi"/>
          <w:sz w:val="16"/>
          <w:szCs w:val="16"/>
          <w:lang w:eastAsia="ru-RU"/>
        </w:rPr>
        <w:t xml:space="preserve"> after gastrectomy, gastric cancer, developed and implemented in the clinic a new way of gastrectomy for gastric cancer, which allows to reduce the probability of failure of the anastomosis and prevent the development of reflux esophagitis.</w:t>
      </w:r>
      <w:r w:rsidRPr="00AD0B3C">
        <w:rPr>
          <w:rFonts w:asciiTheme="minorHAnsi" w:eastAsia="Times New Roman" w:hAnsiTheme="minorHAnsi"/>
          <w:sz w:val="16"/>
          <w:szCs w:val="16"/>
          <w:lang w:eastAsia="ru-RU"/>
        </w:rPr>
        <w:br/>
        <w:t>By this method holds 37 gastrectomies, anastomosis failure is not observed in any case.</w:t>
      </w:r>
      <w:r w:rsidRPr="00AD0B3C">
        <w:rPr>
          <w:rFonts w:asciiTheme="minorHAnsi" w:eastAsia="Times New Roman" w:hAnsiTheme="minorHAnsi"/>
          <w:sz w:val="16"/>
          <w:szCs w:val="16"/>
          <w:lang w:eastAsia="ru-RU"/>
        </w:rPr>
        <w:br/>
        <w:t>Key words: gastric cancer, gastrectomy, ezofagoenteroanastomoz, reflux gastritis.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  <w:lang w:val="en-US"/>
        </w:rPr>
      </w:pPr>
    </w:p>
    <w:p w:rsidR="00AD0B3C" w:rsidRPr="00AD0B3C" w:rsidRDefault="00AD0B3C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  <w:lang w:val="kk-KZ"/>
        </w:rPr>
      </w:pP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 xml:space="preserve">Эзофагоэнтероанастомоза 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құ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растырулар ма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қ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сатпен гастрэктомиядан кейiн, ас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қ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азанны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ң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 xml:space="preserve"> шаянында, жасал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ғ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ан ж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ә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не гастрэктомияны жа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ң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 xml:space="preserve">а 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ә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дiстi клиникада ас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қ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азанны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ң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 xml:space="preserve"> шаянында, м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ү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мкiндiк беретiн анастомозды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ң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 xml:space="preserve"> бейшаралы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ғ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ыны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ң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 xml:space="preserve"> ы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қ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тималды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ғ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ы азайтып ж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ә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не керi дамыту са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қ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 xml:space="preserve">тап 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қ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алу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ғ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 xml:space="preserve">а ендiрген - 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өң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ештi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ң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 xml:space="preserve"> 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қ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абынуы.</w:t>
      </w:r>
    </w:p>
    <w:p w:rsidR="00AD0B3C" w:rsidRPr="00AD0B3C" w:rsidRDefault="00AD0B3C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  <w:lang w:val="kk-KZ"/>
        </w:rPr>
      </w:pP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 xml:space="preserve">Осы 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ә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дiстеме бойынша 37 гастрэктомиялар, анастомозды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ң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 xml:space="preserve"> бейшаралы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ғ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ы орында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ғ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ан бiр жа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ғ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 xml:space="preserve">дайда да атап </w:t>
      </w:r>
      <w:r w:rsidRPr="00AD0B3C">
        <w:rPr>
          <w:rFonts w:ascii="Times New Roman" w:hAnsi="Times New Roman"/>
          <w:color w:val="000000"/>
          <w:sz w:val="16"/>
          <w:szCs w:val="16"/>
          <w:lang w:val="kk-KZ"/>
        </w:rPr>
        <w:t>ө</w:t>
      </w:r>
      <w:r w:rsidRPr="00AD0B3C">
        <w:rPr>
          <w:rFonts w:asciiTheme="minorHAnsi" w:hAnsiTheme="minorHAnsi"/>
          <w:color w:val="000000"/>
          <w:sz w:val="16"/>
          <w:szCs w:val="16"/>
          <w:lang w:val="kk-KZ"/>
        </w:rPr>
        <w:t>тiлмеген.</w:t>
      </w:r>
    </w:p>
    <w:p w:rsidR="00AD0B3C" w:rsidRPr="00AD0B3C" w:rsidRDefault="00AD0B3C" w:rsidP="00AD0B3C">
      <w:pPr>
        <w:tabs>
          <w:tab w:val="left" w:pos="3105"/>
        </w:tabs>
        <w:spacing w:after="0" w:line="240" w:lineRule="auto"/>
        <w:rPr>
          <w:rFonts w:asciiTheme="minorHAnsi" w:hAnsiTheme="minorHAnsi"/>
          <w:sz w:val="16"/>
          <w:szCs w:val="16"/>
          <w:lang w:val="en-US"/>
        </w:rPr>
      </w:pPr>
    </w:p>
    <w:p w:rsidR="00A420DF" w:rsidRPr="00AD0B3C" w:rsidRDefault="00A420DF" w:rsidP="00AD0B3C">
      <w:pPr>
        <w:pStyle w:val="a3"/>
        <w:spacing w:before="0" w:after="0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>Несмотря на стабильное снижение заболеваемости и летальности, рак желудка остается крайне актуальной проблемой человечества. В России он находится на втором месте в структуре заболеваемости мужчин (14,7%) и третьем в структуре заболеваемости женщин (10,8%) [1].</w:t>
      </w:r>
    </w:p>
    <w:p w:rsidR="00A420DF" w:rsidRPr="00AD0B3C" w:rsidRDefault="00A420DF" w:rsidP="00AD0B3C">
      <w:pPr>
        <w:pStyle w:val="a3"/>
        <w:spacing w:before="0" w:after="0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>Лечение рака желудка — одна из наиболее сложных проблем онкологии. Хирургическое лечение остается на сегодняшний день «золотым» стандартом при радикальном лечении, рака желудка, позволяющим у ряда больных надеяться на полное выздоровление. Однако результаты его применения существенно зависят от правильности выбранного объема резекции и техники ее выполнения.</w:t>
      </w:r>
    </w:p>
    <w:p w:rsidR="00A420DF" w:rsidRPr="00AD0B3C" w:rsidRDefault="00A420DF" w:rsidP="00AD0B3C">
      <w:pPr>
        <w:pStyle w:val="a3"/>
        <w:spacing w:before="0" w:after="0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>Традиционно радикальные операции по поводу рака желудка включают не только адекватный объем оперативного вмешательства на самом органе, но и обязательное моноблочное удаление регионарных лимфатических узлов с окружающей клетчаткой [2].</w:t>
      </w:r>
    </w:p>
    <w:p w:rsidR="00A420DF" w:rsidRPr="00AD0B3C" w:rsidRDefault="00A420DF" w:rsidP="00AD0B3C">
      <w:pPr>
        <w:pStyle w:val="a3"/>
        <w:spacing w:before="0" w:after="0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>Показанием к хирургическому лечению рака желудка являются установление диагноза операбельного рака желудка и отсутствие общих противопоказаний к операции.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 xml:space="preserve">М.З. Сигал с соавт., [3], предлагают способ формирования пищеводнокишечного анастомоза, включающий создание кишечной трубки, резекцию абдоминального отдела пищевода при этом производят в косом направлении, под углом. Далее формируется малый желудок из петель приводящего и отводящего отдела тонкой кишки. После чего формируется анастомоз между пищеводом и сформированным малым желудком из тонкой кишки.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 xml:space="preserve">Недостатками данного способа являются трудоемкость и травматичность операции, кроме того, формирование малого желудка по данной методике предрасполагает к развитию рефлюкс-эзофагита.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 xml:space="preserve">Известен способ резекции желудка, включающий удаление органа с сохранением участка желудочной стенки, прилежащей к пищеводу, ушивание культи двенадцатиперстной кишки, наложение желудочно-кишечного и межкишечного анастомозов, при этом желудок мобилизуют на всем протяжении и пересекают на уровне пищеводно - желудочного перехода по линии, перпендикулярной оси пищевода, затем размещают пищевод в центральной части горизонтального отдела Т-образной дубликатуры из тощей кишки и ротируют культю желудка на 180 вправо, после чего анастомозируют культю желудка с отводящим отделом Т-образной муфты, а приводящий ее отдел фиксируют к отводящему до пищевода.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 xml:space="preserve">Недостатками данного способа являются: короткая зона фиксации анастомоза, стенка кишки при формировании анастомоза рассекается продольно, что способствует развитию рефлюкс-эзофагита; уменьшена зона энтероэнтеропликации вследствие короткой фиксации абдоминального отдела пищевода.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>С целью формирования эзофагоэнтероанастомоза после гастрэктомии, при раке желудка, позволяющий снизить вероятность несостоятельности анастомоза и предотвратить развитие рефлюкс-эзофагита, нами разработан и внедрен в клинике новый способ гастрэктомии (А.С. 2002/0572.1 от 29.04.2002) [5].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>Способ осуществляется следующим образом: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>После мобилизации желудка и абдоминального отдела пищевода производят гастрэктомию проксимальнее кардиоэзафагеального перехода. Культю двенадцатиперстной кишки ушивают. Отступив от связки Трейца 25-30 см, из петель тощей кишки (приводящей и отводящей) создают Т-образную дубликатуру. Следующим этапом кишку фиксируют на всем протяжении абдоминального отдела пищевода. Первые два шва по краям кишки фиксируют к ножкам диафрагмы, далее абдоминальный отдел пищевода фиксируют к отводящей петле по каждому краю на 5-6 швах. Затем формируют поперечный эзофагоэнтероанастомоз, который предотвращает развитие рефлюкс -эзофагита ввиду смыкания зоны анастомоза при аннтиперистальтической волне.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>После формирования анастомоза выполняют эннтероэнтеропликацию, после чего приводящую петлю кишки фиксируют на протяжении 10 см к отводящей, тем самым закрывая зону анастомоза. Ниже связки Трейца накладывают межкишечное соустье.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 xml:space="preserve">Надежность анастомоза, при данном способе, достигается за счет удлинения зоны фиксации абдоминального отдела пищевода, дополнительной дубликатуры - энтерооэнтеропликации на протяжении 10 см. Выполнение поперечного эзофагоэнтероанастомоза предотвращает заброс кишечного содержимого в пищевод при антиперистальтической волне ввиду смыкания краев анастомоза; за счет созданной Т-образной дубликатуры кишки и энтероэнтеропликации формируется газовый пузырь, что способствует выходу воздуха, в результате чего не возникает опасности развития рефлюкс-эзофагита.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>Приводим клинические наблюдения подтверждающий эффективность применения способа формирования эзофагоэнтероанастомоза после гастрэктомии у больных с раком желудка.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 xml:space="preserve">Пример 1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 xml:space="preserve">Больной П., 47 лет. Жалобы при поступлении на боли в эпигастрии, иррадирующие за грудину, слабость, снижение в весе.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lastRenderedPageBreak/>
        <w:t xml:space="preserve">Из анамнеза: болен в течение 6 месяцев. Обследован в поликлинике: сделана гастроскопия с прицельной биопсией, при которой обнаружен рак в проксимальном отделе желудка (аденокарцинома), дефект слизистой в d=3,0 см.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 xml:space="preserve">Рентгеноскопия желудка: обнаружена ниша ниже кардиального жома 4-5 см. После дообследования и предварительной подготовки произведена операция абдоминальным доступом.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 xml:space="preserve">Выполнена гастрэктомия с расширенной лимфадиссекцией в объеме лимфаденэктомии. Наложен эзофагоэнтероанастомоз по описанному способу. Назогастральный зонд удален на 5 сутки.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 xml:space="preserve">Послеоперационное течение гладкое, ранняя активация больного после операции. Кормление через рот начато после удаления зонда. Больной через 12 суток выписан домой.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 xml:space="preserve">Больной осмотрен после операции через 3 мес., 1 год, 3 года. Самочувствие хорошее, набрал в весе, аппетит сохранен, работает.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 xml:space="preserve">Через 3 года проведена компьютерная томография брюшной полости, метастазы не обнаружены. Рентгеноскопия (эзофагоэнтерография): имеется небольшой газовый пузырь в левом поддиафраггмальном пространстве, проходимость анастомоза хорошая.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 xml:space="preserve">Пример 2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 xml:space="preserve">Больной Д., 67 л. При поступлении беспокоят боли в эпигастрии постоянного характера, усиливающиеся после приема пищи. Боли иррадиируют в спину. В течение последнего месяца отмечает ухудшение самочувствия, слабость, упадок сил, апатию, снижение аппетита. Потеря в весе до 5 кг. При фиброгастродуоденоскопии обнаружен дефект слизистой в субкардии до 2,5 см с неровными подрытыми краями, взята биопсия. Результат биопсии - аденкаррцинома желудка. Рентгенологический диагноз подтверждён.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 xml:space="preserve">После подготовки и дообследования больной взят на операцию. Во время операции обнаружена опухоль с инфильтративным ростом в верхней трети желудка. Произведена гастрэктомия, при этом мобилизован абдоминальный отдел пищевода, пересечен выше жома на 2 см (с целью адекватной лимфадиссекции выполняется спленэктомия).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>Культя двенадцатиперстной кишки ушита. Наложен эзофагоэнтероанастомоз по описанной методике. Послеоперационное течение гладкое. Выписан домой на 14 сутки после операции. По истечении 1 года осмотрен в динамике, жалоб нет. Самочувствие хорошее.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 xml:space="preserve">По данной методике выполнено 37 гастрэктомий, несостоятельности анастомоза не отмечено ни в одном случае. 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>Таким образом, предлагаемый способ эзофагоэннтероанастомоза после гастрэктомии у больных с раком желудка, является надежным, предотвращает несостоятельность анастомоза и развитие рефлюкс-эзофагита.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16"/>
          <w:szCs w:val="16"/>
          <w:lang w:eastAsia="ru-RU"/>
        </w:rPr>
      </w:pPr>
      <w:r w:rsidRPr="00AD0B3C">
        <w:rPr>
          <w:rFonts w:asciiTheme="minorHAnsi" w:eastAsia="Times New Roman" w:hAnsiTheme="minorHAnsi"/>
          <w:b/>
          <w:color w:val="000000"/>
          <w:sz w:val="16"/>
          <w:szCs w:val="16"/>
          <w:lang w:eastAsia="ru-RU"/>
        </w:rPr>
        <w:t>Список использованной литературы: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>1.Щепотин И. Б., Эванс С. Р. Т. Рак желудка: практическое руководство по профилактике, диагностике и лечению. – К.: Книга Плюс, 2000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  <w:lang w:val="en-US"/>
        </w:rPr>
        <w:t xml:space="preserve">2. </w:t>
      </w:r>
      <w:r w:rsidRPr="00AD0B3C">
        <w:rPr>
          <w:rFonts w:asciiTheme="minorHAnsi" w:hAnsiTheme="minorHAnsi"/>
          <w:color w:val="000000"/>
          <w:sz w:val="16"/>
          <w:szCs w:val="16"/>
          <w:lang w:val="en-GB"/>
        </w:rPr>
        <w:t>Hermans J., Bonenkamp J. J., Boon M. C. et al. Adjuvant therapy after curative resection for gastric cancer: Meta-analysis of randomized trials// J. Clin. Oncol</w:t>
      </w:r>
      <w:r w:rsidRPr="00AD0B3C">
        <w:rPr>
          <w:rFonts w:asciiTheme="minorHAnsi" w:hAnsiTheme="minorHAnsi"/>
          <w:color w:val="000000"/>
          <w:sz w:val="16"/>
          <w:szCs w:val="16"/>
        </w:rPr>
        <w:t xml:space="preserve">. – 1993. – </w:t>
      </w:r>
      <w:r w:rsidRPr="00AD0B3C">
        <w:rPr>
          <w:rFonts w:asciiTheme="minorHAnsi" w:hAnsiTheme="minorHAnsi"/>
          <w:color w:val="000000"/>
          <w:sz w:val="16"/>
          <w:szCs w:val="16"/>
          <w:lang w:val="en-GB"/>
        </w:rPr>
        <w:t>V</w:t>
      </w:r>
      <w:r w:rsidRPr="00AD0B3C">
        <w:rPr>
          <w:rFonts w:asciiTheme="minorHAnsi" w:hAnsiTheme="minorHAnsi"/>
          <w:color w:val="000000"/>
          <w:sz w:val="16"/>
          <w:szCs w:val="16"/>
        </w:rPr>
        <w:t>. 11. – Р. 1441–1444.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>3. Сигал М.З., Ахметзянов Ф.Ш. Гастрэктомия и резекция желудка по поводу рака. Изд. Казанского университета, 1987, с. 141-157.</w:t>
      </w:r>
    </w:p>
    <w:p w:rsidR="00A420DF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>4. А. С. СССР № 1796159, кл. A61В 17/00.//Бюллетень изобретений №7 от 23.02.1993.</w:t>
      </w:r>
    </w:p>
    <w:p w:rsidR="0013326A" w:rsidRPr="00AD0B3C" w:rsidRDefault="00A420DF" w:rsidP="00AD0B3C">
      <w:pPr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AD0B3C">
        <w:rPr>
          <w:rFonts w:asciiTheme="minorHAnsi" w:hAnsiTheme="minorHAnsi"/>
          <w:color w:val="000000"/>
          <w:sz w:val="16"/>
          <w:szCs w:val="16"/>
        </w:rPr>
        <w:t>5. Рахов С. Б.; Жанталинова Н. А. Способ формирования эзофагоэнтероанастомоза после гастрэктомии.// Бюллетень изобретений РК. №1 от 15.01.2004,</w:t>
      </w:r>
    </w:p>
    <w:p w:rsidR="0013326A" w:rsidRPr="00AD0B3C" w:rsidRDefault="0013326A" w:rsidP="00AD0B3C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13326A" w:rsidRPr="00AD0B3C" w:rsidRDefault="0013326A" w:rsidP="00AD0B3C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13326A" w:rsidRPr="00AD0B3C" w:rsidRDefault="0013326A" w:rsidP="00AD0B3C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13326A" w:rsidRPr="00AD0B3C" w:rsidRDefault="0013326A" w:rsidP="00AD0B3C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13326A" w:rsidRPr="00AD0B3C" w:rsidRDefault="0013326A" w:rsidP="00AD0B3C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13326A" w:rsidRPr="00AD0B3C" w:rsidRDefault="0013326A" w:rsidP="00AD0B3C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A420DF" w:rsidRPr="00AD0B3C" w:rsidRDefault="0013326A" w:rsidP="00AD0B3C">
      <w:pPr>
        <w:tabs>
          <w:tab w:val="left" w:pos="3105"/>
        </w:tabs>
        <w:spacing w:after="0" w:line="240" w:lineRule="auto"/>
        <w:rPr>
          <w:rFonts w:asciiTheme="minorHAnsi" w:hAnsiTheme="minorHAnsi"/>
          <w:sz w:val="16"/>
          <w:szCs w:val="16"/>
        </w:rPr>
      </w:pPr>
      <w:r w:rsidRPr="00AD0B3C">
        <w:rPr>
          <w:rFonts w:asciiTheme="minorHAnsi" w:hAnsiTheme="minorHAnsi"/>
          <w:sz w:val="16"/>
          <w:szCs w:val="16"/>
        </w:rPr>
        <w:tab/>
      </w:r>
    </w:p>
    <w:p w:rsidR="0013326A" w:rsidRPr="00AD0B3C" w:rsidRDefault="0013326A" w:rsidP="00AD0B3C">
      <w:pPr>
        <w:tabs>
          <w:tab w:val="left" w:pos="3105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13326A" w:rsidRPr="00AD0B3C" w:rsidRDefault="0013326A" w:rsidP="00AD0B3C">
      <w:pPr>
        <w:tabs>
          <w:tab w:val="left" w:pos="3105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sectPr w:rsidR="0013326A" w:rsidRPr="00AD0B3C" w:rsidSect="00AD0B3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87" w:rsidRDefault="00EC6387" w:rsidP="005A6064">
      <w:pPr>
        <w:spacing w:after="0" w:line="240" w:lineRule="auto"/>
      </w:pPr>
      <w:r>
        <w:separator/>
      </w:r>
    </w:p>
  </w:endnote>
  <w:endnote w:type="continuationSeparator" w:id="1">
    <w:p w:rsidR="00EC6387" w:rsidRDefault="00EC6387" w:rsidP="005A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98" w:rsidRDefault="004132B8">
    <w:pPr>
      <w:pStyle w:val="a4"/>
      <w:jc w:val="center"/>
    </w:pPr>
    <w:r>
      <w:fldChar w:fldCharType="begin"/>
    </w:r>
    <w:r w:rsidR="00F911CA">
      <w:instrText xml:space="preserve"> PAGE   \* MERGEFORMAT </w:instrText>
    </w:r>
    <w:r>
      <w:fldChar w:fldCharType="separate"/>
    </w:r>
    <w:r w:rsidR="00AD0B3C">
      <w:rPr>
        <w:noProof/>
      </w:rPr>
      <w:t>2</w:t>
    </w:r>
    <w:r>
      <w:fldChar w:fldCharType="end"/>
    </w:r>
  </w:p>
  <w:p w:rsidR="00085B98" w:rsidRDefault="00EC63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87" w:rsidRDefault="00EC6387" w:rsidP="005A6064">
      <w:pPr>
        <w:spacing w:after="0" w:line="240" w:lineRule="auto"/>
      </w:pPr>
      <w:r>
        <w:separator/>
      </w:r>
    </w:p>
  </w:footnote>
  <w:footnote w:type="continuationSeparator" w:id="1">
    <w:p w:rsidR="00EC6387" w:rsidRDefault="00EC6387" w:rsidP="005A6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0DF"/>
    <w:rsid w:val="0013326A"/>
    <w:rsid w:val="004132B8"/>
    <w:rsid w:val="005A6064"/>
    <w:rsid w:val="006E42E4"/>
    <w:rsid w:val="00A158CA"/>
    <w:rsid w:val="00A420DF"/>
    <w:rsid w:val="00AD0B3C"/>
    <w:rsid w:val="00D94384"/>
    <w:rsid w:val="00EC6387"/>
    <w:rsid w:val="00F9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0DF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42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20DF"/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AD0B3C"/>
  </w:style>
  <w:style w:type="character" w:customStyle="1" w:styleId="hps">
    <w:name w:val="hps"/>
    <w:basedOn w:val="a0"/>
    <w:rsid w:val="00AD0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AAA</cp:lastModifiedBy>
  <cp:revision>3</cp:revision>
  <dcterms:created xsi:type="dcterms:W3CDTF">2011-06-02T05:07:00Z</dcterms:created>
  <dcterms:modified xsi:type="dcterms:W3CDTF">2012-07-15T13:37:00Z</dcterms:modified>
</cp:coreProperties>
</file>