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F9B" w:rsidRPr="00195F9B" w:rsidRDefault="00BE51D5" w:rsidP="00195F9B">
      <w:pPr>
        <w:tabs>
          <w:tab w:val="left" w:pos="9356"/>
        </w:tabs>
        <w:spacing w:after="200" w:line="276" w:lineRule="auto"/>
        <w:ind w:right="525" w:firstLine="3"/>
        <w:jc w:val="center"/>
        <w:rPr>
          <w:rFonts w:eastAsiaTheme="minorHAnsi"/>
          <w:b/>
          <w:bCs/>
          <w:color w:val="000000"/>
          <w:szCs w:val="22"/>
          <w:lang w:eastAsia="en-US"/>
        </w:rPr>
      </w:pPr>
      <w:bookmarkStart w:id="0" w:name="_GoBack"/>
      <w:bookmarkEnd w:id="0"/>
      <w:r>
        <w:rPr>
          <w:rFonts w:eastAsiaTheme="minorHAnsi"/>
          <w:b/>
          <w:bCs/>
          <w:color w:val="000000"/>
          <w:szCs w:val="22"/>
          <w:lang w:eastAsia="en-US"/>
        </w:rPr>
        <w:t>АЛГОРИТМ</w:t>
      </w:r>
      <w:r w:rsidR="00195F9B">
        <w:rPr>
          <w:rFonts w:eastAsiaTheme="minorHAnsi"/>
          <w:b/>
          <w:bCs/>
          <w:color w:val="000000"/>
          <w:szCs w:val="22"/>
          <w:lang w:eastAsia="en-US"/>
        </w:rPr>
        <w:t xml:space="preserve"> ВЫПОЛНЕНИЯ </w:t>
      </w:r>
      <w:r w:rsidR="00195F9B" w:rsidRPr="00195F9B">
        <w:rPr>
          <w:rFonts w:eastAsiaTheme="minorHAnsi"/>
          <w:b/>
          <w:bCs/>
          <w:color w:val="000000"/>
          <w:szCs w:val="22"/>
          <w:lang w:eastAsia="en-US"/>
        </w:rPr>
        <w:t>ПРАКТИЧЕСКОГО НАВЫКА</w:t>
      </w:r>
    </w:p>
    <w:tbl>
      <w:tblPr>
        <w:tblW w:w="10173" w:type="dxa"/>
        <w:tblLayout w:type="fixed"/>
        <w:tblLook w:val="0000" w:firstRow="0" w:lastRow="0" w:firstColumn="0" w:lastColumn="0" w:noHBand="0" w:noVBand="0"/>
      </w:tblPr>
      <w:tblGrid>
        <w:gridCol w:w="5238"/>
        <w:gridCol w:w="4935"/>
      </w:tblGrid>
      <w:tr w:rsidR="00195F9B" w:rsidRPr="00195F9B" w:rsidTr="00F23A54">
        <w:trPr>
          <w:trHeight w:val="107"/>
        </w:trPr>
        <w:tc>
          <w:tcPr>
            <w:tcW w:w="5238" w:type="dxa"/>
          </w:tcPr>
          <w:p w:rsidR="00195F9B" w:rsidRPr="00195F9B" w:rsidRDefault="00195F9B" w:rsidP="00195F9B">
            <w:pPr>
              <w:autoSpaceDE w:val="0"/>
              <w:autoSpaceDN w:val="0"/>
              <w:adjustRightInd w:val="0"/>
              <w:rPr>
                <w:rFonts w:eastAsiaTheme="minorHAnsi"/>
                <w:color w:val="000000"/>
                <w:lang w:val="en-US" w:eastAsia="en-US"/>
              </w:rPr>
            </w:pPr>
            <w:r w:rsidRPr="00195F9B">
              <w:rPr>
                <w:rFonts w:eastAsiaTheme="minorHAnsi"/>
                <w:b/>
                <w:bCs/>
                <w:color w:val="000000"/>
                <w:lang w:val="en-US" w:eastAsia="en-US"/>
              </w:rPr>
              <w:t>Наименование</w:t>
            </w:r>
            <w:r w:rsidRPr="00195F9B">
              <w:rPr>
                <w:rFonts w:eastAsiaTheme="minorHAnsi"/>
                <w:b/>
                <w:bCs/>
                <w:color w:val="000000"/>
                <w:lang w:eastAsia="en-US"/>
              </w:rPr>
              <w:t xml:space="preserve"> </w:t>
            </w:r>
            <w:r w:rsidRPr="00195F9B">
              <w:rPr>
                <w:rFonts w:eastAsiaTheme="minorHAnsi"/>
                <w:b/>
                <w:bCs/>
                <w:color w:val="000000"/>
                <w:lang w:val="en-US" w:eastAsia="en-US"/>
              </w:rPr>
              <w:t>практического</w:t>
            </w:r>
            <w:r w:rsidRPr="00195F9B">
              <w:rPr>
                <w:rFonts w:eastAsiaTheme="minorHAnsi"/>
                <w:b/>
                <w:bCs/>
                <w:color w:val="000000"/>
                <w:lang w:eastAsia="en-US"/>
              </w:rPr>
              <w:t xml:space="preserve"> </w:t>
            </w:r>
            <w:r w:rsidRPr="00195F9B">
              <w:rPr>
                <w:rFonts w:eastAsiaTheme="minorHAnsi"/>
                <w:b/>
                <w:bCs/>
                <w:color w:val="000000"/>
                <w:lang w:val="en-US" w:eastAsia="en-US"/>
              </w:rPr>
              <w:t>навыка</w:t>
            </w:r>
          </w:p>
        </w:tc>
        <w:tc>
          <w:tcPr>
            <w:tcW w:w="4935" w:type="dxa"/>
          </w:tcPr>
          <w:p w:rsidR="00195F9B" w:rsidRPr="00195F9B" w:rsidRDefault="00195F9B" w:rsidP="00195F9B">
            <w:pPr>
              <w:autoSpaceDE w:val="0"/>
              <w:autoSpaceDN w:val="0"/>
              <w:adjustRightInd w:val="0"/>
              <w:rPr>
                <w:rFonts w:eastAsiaTheme="minorHAnsi"/>
                <w:b/>
                <w:color w:val="000000"/>
                <w:lang w:eastAsia="en-US"/>
              </w:rPr>
            </w:pPr>
            <w:r w:rsidRPr="00195F9B">
              <w:rPr>
                <w:b/>
                <w:bCs/>
                <w:color w:val="000000"/>
              </w:rPr>
              <w:t>Пальпация молочных желез</w:t>
            </w:r>
          </w:p>
        </w:tc>
      </w:tr>
    </w:tbl>
    <w:p w:rsidR="00195F9B" w:rsidRPr="00195F9B" w:rsidRDefault="00195F9B" w:rsidP="00195F9B">
      <w:pPr>
        <w:suppressAutoHyphens/>
        <w:jc w:val="center"/>
        <w:rPr>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15"/>
        <w:gridCol w:w="5757"/>
      </w:tblGrid>
      <w:tr w:rsidR="00987174" w:rsidRPr="00195F9B" w:rsidTr="00987174">
        <w:trPr>
          <w:trHeight w:val="324"/>
        </w:trPr>
        <w:tc>
          <w:tcPr>
            <w:tcW w:w="675" w:type="dxa"/>
            <w:vMerge w:val="restart"/>
            <w:shd w:val="clear" w:color="auto" w:fill="auto"/>
          </w:tcPr>
          <w:p w:rsidR="00987174" w:rsidRPr="000E5DF0" w:rsidRDefault="00987174" w:rsidP="00987174">
            <w:pPr>
              <w:widowControl w:val="0"/>
              <w:shd w:val="clear" w:color="auto" w:fill="FFFFFF"/>
              <w:ind w:right="-24"/>
              <w:jc w:val="center"/>
              <w:rPr>
                <w:rFonts w:eastAsia="Calibri"/>
                <w:bCs/>
                <w:color w:val="000000"/>
              </w:rPr>
            </w:pPr>
            <w:r w:rsidRPr="000E5DF0">
              <w:rPr>
                <w:rFonts w:eastAsia="Calibri"/>
                <w:bCs/>
                <w:color w:val="000000"/>
              </w:rPr>
              <w:t>№</w:t>
            </w:r>
          </w:p>
        </w:tc>
        <w:tc>
          <w:tcPr>
            <w:tcW w:w="3315" w:type="dxa"/>
            <w:vMerge w:val="restart"/>
            <w:shd w:val="clear" w:color="auto" w:fill="FFFFFF" w:themeFill="background1"/>
          </w:tcPr>
          <w:p w:rsidR="00987174" w:rsidRPr="000E5DF0" w:rsidRDefault="00987174" w:rsidP="00987174">
            <w:pPr>
              <w:jc w:val="center"/>
              <w:rPr>
                <w:rFonts w:eastAsia="Calibri"/>
                <w:b/>
              </w:rPr>
            </w:pPr>
            <w:r>
              <w:rPr>
                <w:rFonts w:eastAsia="Calibri"/>
                <w:b/>
              </w:rPr>
              <w:t>Шаги</w:t>
            </w:r>
          </w:p>
        </w:tc>
        <w:tc>
          <w:tcPr>
            <w:tcW w:w="5757" w:type="dxa"/>
            <w:vMerge w:val="restart"/>
            <w:shd w:val="clear" w:color="auto" w:fill="FFFFFF" w:themeFill="background1"/>
          </w:tcPr>
          <w:p w:rsidR="00987174" w:rsidRPr="000E5DF0" w:rsidRDefault="00987174" w:rsidP="00987174">
            <w:pPr>
              <w:jc w:val="center"/>
              <w:rPr>
                <w:rFonts w:eastAsia="Calibri"/>
                <w:b/>
              </w:rPr>
            </w:pPr>
            <w:r>
              <w:rPr>
                <w:rFonts w:eastAsia="Calibri"/>
                <w:b/>
              </w:rPr>
              <w:t>Алгоритм действий и критерии выполнения</w:t>
            </w:r>
          </w:p>
        </w:tc>
      </w:tr>
      <w:tr w:rsidR="00987174" w:rsidRPr="00195F9B" w:rsidTr="00987174">
        <w:trPr>
          <w:trHeight w:val="276"/>
        </w:trPr>
        <w:tc>
          <w:tcPr>
            <w:tcW w:w="675" w:type="dxa"/>
            <w:vMerge/>
            <w:shd w:val="clear" w:color="auto" w:fill="auto"/>
          </w:tcPr>
          <w:p w:rsidR="00987174" w:rsidRPr="00195F9B" w:rsidRDefault="00987174" w:rsidP="00195F9B">
            <w:pPr>
              <w:widowControl w:val="0"/>
              <w:shd w:val="clear" w:color="auto" w:fill="FFFFFF"/>
              <w:ind w:right="-24"/>
              <w:jc w:val="center"/>
              <w:rPr>
                <w:rFonts w:eastAsia="Calibri"/>
                <w:bCs/>
                <w:color w:val="000000"/>
              </w:rPr>
            </w:pPr>
          </w:p>
        </w:tc>
        <w:tc>
          <w:tcPr>
            <w:tcW w:w="3315" w:type="dxa"/>
            <w:vMerge/>
            <w:shd w:val="clear" w:color="auto" w:fill="FFFFFF" w:themeFill="background1"/>
          </w:tcPr>
          <w:p w:rsidR="00987174" w:rsidRPr="00195F9B" w:rsidRDefault="00987174" w:rsidP="00195F9B">
            <w:pPr>
              <w:jc w:val="center"/>
              <w:rPr>
                <w:rFonts w:eastAsia="Calibri"/>
                <w:b/>
              </w:rPr>
            </w:pPr>
          </w:p>
        </w:tc>
        <w:tc>
          <w:tcPr>
            <w:tcW w:w="5757" w:type="dxa"/>
            <w:vMerge/>
            <w:shd w:val="clear" w:color="auto" w:fill="FFFFFF" w:themeFill="background1"/>
          </w:tcPr>
          <w:p w:rsidR="00987174" w:rsidRPr="00195F9B" w:rsidRDefault="00987174" w:rsidP="00195F9B">
            <w:pPr>
              <w:jc w:val="center"/>
              <w:rPr>
                <w:rFonts w:eastAsia="Calibri"/>
                <w:b/>
              </w:rPr>
            </w:pPr>
          </w:p>
        </w:tc>
      </w:tr>
      <w:tr w:rsidR="00195F9B" w:rsidRPr="00195F9B" w:rsidTr="00F23A54">
        <w:trPr>
          <w:trHeight w:val="613"/>
        </w:trPr>
        <w:tc>
          <w:tcPr>
            <w:tcW w:w="675" w:type="dxa"/>
            <w:shd w:val="clear" w:color="auto" w:fill="auto"/>
            <w:hideMark/>
          </w:tcPr>
          <w:p w:rsidR="00195F9B" w:rsidRPr="00195F9B" w:rsidRDefault="00195F9B" w:rsidP="00195F9B">
            <w:pPr>
              <w:widowControl w:val="0"/>
              <w:shd w:val="clear" w:color="auto" w:fill="FFFFFF"/>
              <w:ind w:right="-24"/>
              <w:jc w:val="center"/>
              <w:rPr>
                <w:rFonts w:eastAsia="Calibri"/>
                <w:bCs/>
                <w:color w:val="000000"/>
              </w:rPr>
            </w:pPr>
            <w:r w:rsidRPr="00195F9B">
              <w:rPr>
                <w:rFonts w:eastAsia="Calibri"/>
                <w:bCs/>
                <w:color w:val="000000"/>
              </w:rPr>
              <w:t>1.</w:t>
            </w:r>
          </w:p>
        </w:tc>
        <w:tc>
          <w:tcPr>
            <w:tcW w:w="3315" w:type="dxa"/>
            <w:shd w:val="clear" w:color="auto" w:fill="auto"/>
            <w:hideMark/>
          </w:tcPr>
          <w:p w:rsidR="00195F9B" w:rsidRPr="00195F9B" w:rsidRDefault="00195F9B" w:rsidP="00195F9B">
            <w:pPr>
              <w:widowControl w:val="0"/>
              <w:tabs>
                <w:tab w:val="left" w:pos="426"/>
              </w:tabs>
              <w:ind w:left="-57" w:right="-57"/>
              <w:jc w:val="both"/>
              <w:rPr>
                <w:bCs/>
                <w:color w:val="000000"/>
                <w:lang w:eastAsia="en-US"/>
              </w:rPr>
            </w:pPr>
            <w:r w:rsidRPr="00195F9B">
              <w:rPr>
                <w:rFonts w:eastAsia="SimSun"/>
                <w:color w:val="000000"/>
              </w:rPr>
              <w:t xml:space="preserve">Установить первоначальный контакт с пациенткой </w:t>
            </w:r>
          </w:p>
        </w:tc>
        <w:tc>
          <w:tcPr>
            <w:tcW w:w="5757" w:type="dxa"/>
            <w:shd w:val="clear" w:color="auto" w:fill="auto"/>
          </w:tcPr>
          <w:p w:rsidR="00195F9B" w:rsidRPr="00195F9B" w:rsidRDefault="00195F9B" w:rsidP="00195F9B">
            <w:pPr>
              <w:widowControl w:val="0"/>
              <w:tabs>
                <w:tab w:val="left" w:pos="426"/>
              </w:tabs>
              <w:ind w:left="-57" w:right="-57"/>
              <w:jc w:val="both"/>
              <w:rPr>
                <w:bCs/>
                <w:color w:val="000000"/>
                <w:lang w:eastAsia="en-US"/>
              </w:rPr>
            </w:pPr>
            <w:r w:rsidRPr="00195F9B">
              <w:rPr>
                <w:rFonts w:eastAsia="SimSun"/>
                <w:bCs/>
                <w:color w:val="000000"/>
              </w:rPr>
              <w:t>Поприветствовать,</w:t>
            </w:r>
            <w:r w:rsidRPr="00195F9B">
              <w:rPr>
                <w:rFonts w:eastAsia="SimSun"/>
                <w:color w:val="000000"/>
              </w:rPr>
              <w:t xml:space="preserve"> представить себя; узнать имя пациентки; во время этого установить оптимальную дистанцию</w:t>
            </w:r>
            <w:r w:rsidRPr="00195F9B">
              <w:rPr>
                <w:rFonts w:eastAsia="SimSun"/>
                <w:bCs/>
                <w:color w:val="000000"/>
              </w:rPr>
              <w:t xml:space="preserve">. Объяснить пациентке суть обследования. Получить </w:t>
            </w:r>
            <w:r w:rsidRPr="00195F9B">
              <w:rPr>
                <w:rFonts w:eastAsia="SimSun"/>
                <w:color w:val="000000"/>
                <w:lang w:val="kk-KZ"/>
              </w:rPr>
              <w:t>устное</w:t>
            </w:r>
            <w:r w:rsidRPr="00195F9B">
              <w:rPr>
                <w:rFonts w:eastAsia="SimSun"/>
                <w:bCs/>
                <w:color w:val="000000"/>
              </w:rPr>
              <w:t xml:space="preserve"> согласие н</w:t>
            </w:r>
            <w:r w:rsidRPr="00195F9B">
              <w:rPr>
                <w:rFonts w:eastAsia="SimSun"/>
                <w:color w:val="000000"/>
                <w:lang w:val="kk-KZ"/>
              </w:rPr>
              <w:t>а проведение медицинской манипуляции.</w:t>
            </w:r>
          </w:p>
        </w:tc>
      </w:tr>
      <w:tr w:rsidR="00195F9B" w:rsidRPr="00195F9B" w:rsidTr="00F23A54">
        <w:trPr>
          <w:trHeight w:val="218"/>
        </w:trPr>
        <w:tc>
          <w:tcPr>
            <w:tcW w:w="675" w:type="dxa"/>
            <w:shd w:val="clear" w:color="auto" w:fill="auto"/>
            <w:hideMark/>
          </w:tcPr>
          <w:p w:rsidR="00195F9B" w:rsidRPr="00195F9B" w:rsidRDefault="00195F9B" w:rsidP="00195F9B">
            <w:pPr>
              <w:widowControl w:val="0"/>
              <w:shd w:val="clear" w:color="auto" w:fill="FFFFFF"/>
              <w:ind w:right="-24"/>
              <w:jc w:val="center"/>
              <w:rPr>
                <w:rFonts w:eastAsia="Calibri"/>
                <w:bCs/>
                <w:color w:val="000000"/>
              </w:rPr>
            </w:pPr>
            <w:r w:rsidRPr="00195F9B">
              <w:rPr>
                <w:rFonts w:eastAsia="Calibri"/>
                <w:bCs/>
                <w:color w:val="000000"/>
              </w:rPr>
              <w:t>2.</w:t>
            </w:r>
          </w:p>
        </w:tc>
        <w:tc>
          <w:tcPr>
            <w:tcW w:w="3315" w:type="dxa"/>
            <w:shd w:val="clear" w:color="auto" w:fill="auto"/>
            <w:hideMark/>
          </w:tcPr>
          <w:p w:rsidR="00195F9B" w:rsidRPr="00195F9B" w:rsidRDefault="00195F9B" w:rsidP="00195F9B">
            <w:pPr>
              <w:jc w:val="both"/>
              <w:rPr>
                <w:rFonts w:eastAsia="SimSun"/>
                <w:color w:val="000000"/>
                <w:lang w:eastAsia="en-US"/>
              </w:rPr>
            </w:pPr>
            <w:r w:rsidRPr="00195F9B">
              <w:rPr>
                <w:rFonts w:eastAsia="SimSun"/>
                <w:color w:val="000000"/>
                <w:lang w:eastAsia="en-US"/>
              </w:rPr>
              <w:t>Обработать руки гигиеническим способом</w:t>
            </w:r>
          </w:p>
        </w:tc>
        <w:tc>
          <w:tcPr>
            <w:tcW w:w="5757" w:type="dxa"/>
            <w:shd w:val="clear" w:color="auto" w:fill="auto"/>
          </w:tcPr>
          <w:p w:rsidR="00195F9B" w:rsidRPr="00195F9B" w:rsidRDefault="00195F9B" w:rsidP="00195F9B">
            <w:pPr>
              <w:jc w:val="both"/>
              <w:rPr>
                <w:rFonts w:eastAsia="SimSun"/>
                <w:color w:val="000000"/>
                <w:lang w:eastAsia="en-US"/>
              </w:rPr>
            </w:pPr>
            <w:r w:rsidRPr="00195F9B">
              <w:rPr>
                <w:color w:val="000000"/>
              </w:rPr>
              <w:t>Вымыть руки, вытереть одноразовым полотенцем. Надеть одноразовые перчатки.</w:t>
            </w:r>
          </w:p>
        </w:tc>
      </w:tr>
      <w:tr w:rsidR="00195F9B" w:rsidRPr="00195F9B" w:rsidTr="00F23A54">
        <w:trPr>
          <w:trHeight w:val="305"/>
        </w:trPr>
        <w:tc>
          <w:tcPr>
            <w:tcW w:w="675" w:type="dxa"/>
            <w:shd w:val="clear" w:color="auto" w:fill="auto"/>
            <w:hideMark/>
          </w:tcPr>
          <w:p w:rsidR="00195F9B" w:rsidRPr="00195F9B" w:rsidRDefault="00195F9B" w:rsidP="00195F9B">
            <w:pPr>
              <w:widowControl w:val="0"/>
              <w:shd w:val="clear" w:color="auto" w:fill="FFFFFF"/>
              <w:ind w:right="-24"/>
              <w:jc w:val="center"/>
              <w:rPr>
                <w:rFonts w:eastAsia="Calibri"/>
                <w:bCs/>
                <w:color w:val="000000"/>
              </w:rPr>
            </w:pPr>
            <w:r w:rsidRPr="00195F9B">
              <w:rPr>
                <w:rFonts w:eastAsia="Calibri"/>
                <w:bCs/>
                <w:color w:val="000000"/>
              </w:rPr>
              <w:t>3.</w:t>
            </w:r>
          </w:p>
        </w:tc>
        <w:tc>
          <w:tcPr>
            <w:tcW w:w="3315" w:type="dxa"/>
            <w:shd w:val="clear" w:color="auto" w:fill="auto"/>
            <w:hideMark/>
          </w:tcPr>
          <w:p w:rsidR="00195F9B" w:rsidRPr="00195F9B" w:rsidRDefault="00195F9B" w:rsidP="00195F9B">
            <w:pPr>
              <w:jc w:val="both"/>
              <w:rPr>
                <w:rFonts w:eastAsia="SimSun"/>
                <w:color w:val="000000"/>
                <w:lang w:eastAsia="en-US"/>
              </w:rPr>
            </w:pPr>
            <w:r w:rsidRPr="00195F9B">
              <w:t>Собрать необходимый анамнез:</w:t>
            </w:r>
          </w:p>
        </w:tc>
        <w:tc>
          <w:tcPr>
            <w:tcW w:w="5757" w:type="dxa"/>
            <w:shd w:val="clear" w:color="auto" w:fill="auto"/>
          </w:tcPr>
          <w:p w:rsidR="00195F9B" w:rsidRPr="00195F9B" w:rsidRDefault="00195F9B" w:rsidP="00195F9B">
            <w:pPr>
              <w:jc w:val="both"/>
              <w:rPr>
                <w:rFonts w:eastAsia="SimSun"/>
                <w:color w:val="000000"/>
                <w:lang w:eastAsia="en-US"/>
              </w:rPr>
            </w:pPr>
            <w:r w:rsidRPr="00195F9B">
              <w:t>Жалобы, первый день последней менструации, паритет беременности, родов. Результат всех беременностей.</w:t>
            </w:r>
          </w:p>
        </w:tc>
      </w:tr>
      <w:tr w:rsidR="00195F9B" w:rsidRPr="00195F9B" w:rsidTr="00F23A54">
        <w:trPr>
          <w:trHeight w:val="305"/>
        </w:trPr>
        <w:tc>
          <w:tcPr>
            <w:tcW w:w="675" w:type="dxa"/>
            <w:shd w:val="clear" w:color="auto" w:fill="auto"/>
          </w:tcPr>
          <w:p w:rsidR="00195F9B" w:rsidRPr="00195F9B" w:rsidRDefault="00195F9B" w:rsidP="00195F9B">
            <w:pPr>
              <w:widowControl w:val="0"/>
              <w:shd w:val="clear" w:color="auto" w:fill="FFFFFF"/>
              <w:ind w:right="-24"/>
              <w:jc w:val="center"/>
              <w:rPr>
                <w:rFonts w:eastAsia="Calibri"/>
                <w:bCs/>
                <w:color w:val="000000"/>
              </w:rPr>
            </w:pPr>
            <w:r w:rsidRPr="00195F9B">
              <w:rPr>
                <w:rFonts w:eastAsia="Calibri"/>
                <w:bCs/>
                <w:color w:val="000000"/>
              </w:rPr>
              <w:t>4.</w:t>
            </w:r>
          </w:p>
        </w:tc>
        <w:tc>
          <w:tcPr>
            <w:tcW w:w="3315" w:type="dxa"/>
            <w:shd w:val="clear" w:color="auto" w:fill="auto"/>
          </w:tcPr>
          <w:p w:rsidR="00195F9B" w:rsidRPr="00195F9B" w:rsidRDefault="00195F9B" w:rsidP="00195F9B">
            <w:pPr>
              <w:jc w:val="both"/>
              <w:rPr>
                <w:rFonts w:eastAsia="SimSun"/>
                <w:color w:val="000000"/>
                <w:lang w:eastAsia="en-US"/>
              </w:rPr>
            </w:pPr>
            <w:r w:rsidRPr="00195F9B">
              <w:rPr>
                <w:rFonts w:eastAsiaTheme="minorHAnsi"/>
                <w:lang w:eastAsia="en-US"/>
              </w:rPr>
              <w:t>Оценить степень формирования желез.</w:t>
            </w:r>
          </w:p>
        </w:tc>
        <w:tc>
          <w:tcPr>
            <w:tcW w:w="5757" w:type="dxa"/>
            <w:shd w:val="clear" w:color="auto" w:fill="auto"/>
          </w:tcPr>
          <w:p w:rsidR="00195F9B" w:rsidRPr="00195F9B" w:rsidRDefault="00195F9B" w:rsidP="00195F9B">
            <w:pPr>
              <w:jc w:val="both"/>
            </w:pPr>
            <w:r w:rsidRPr="00195F9B">
              <w:t>Больная сидит, руки свободно свисают вдоль туловища, а затем занесены за голову.</w:t>
            </w:r>
          </w:p>
          <w:p w:rsidR="00195F9B" w:rsidRPr="00195F9B" w:rsidRDefault="00195F9B" w:rsidP="00195F9B">
            <w:pPr>
              <w:jc w:val="both"/>
              <w:rPr>
                <w:rFonts w:eastAsia="SimSun"/>
                <w:color w:val="000000"/>
                <w:lang w:eastAsia="en-US"/>
              </w:rPr>
            </w:pPr>
            <w:r w:rsidRPr="00195F9B">
              <w:t xml:space="preserve">Оценил степень формирования желез, их симметричность, форму, размеры, состояние кожных покровов (отек, гиперемия), наличие кожных рубцов, втяжений, </w:t>
            </w:r>
            <w:proofErr w:type="spellStart"/>
            <w:r w:rsidRPr="00195F9B">
              <w:t>выбуханий</w:t>
            </w:r>
            <w:proofErr w:type="spellEnd"/>
            <w:r w:rsidRPr="00195F9B">
              <w:t>, пигментации, наличие отделяемого из соска. Чтобы обнаружить втяжения кожи или соска, женщину просит поднять руки над головой, а затем упереться ладонями в бедра. С помощью этого приема врач выявит некоторые не пальпируемые опухоли. При осмотре соска врач отмечает: 1) изменение положения соска; 2) деформация ареолы за счет укорочения одного из ее радиусов.</w:t>
            </w:r>
          </w:p>
        </w:tc>
      </w:tr>
      <w:tr w:rsidR="00195F9B" w:rsidRPr="00195F9B" w:rsidTr="00F23A54">
        <w:trPr>
          <w:trHeight w:val="131"/>
        </w:trPr>
        <w:tc>
          <w:tcPr>
            <w:tcW w:w="675" w:type="dxa"/>
            <w:shd w:val="clear" w:color="auto" w:fill="auto"/>
          </w:tcPr>
          <w:p w:rsidR="00195F9B" w:rsidRPr="00195F9B" w:rsidRDefault="00195F9B" w:rsidP="00195F9B">
            <w:pPr>
              <w:widowControl w:val="0"/>
              <w:shd w:val="clear" w:color="auto" w:fill="FFFFFF"/>
              <w:ind w:right="-24"/>
              <w:jc w:val="center"/>
              <w:rPr>
                <w:rFonts w:eastAsia="Calibri"/>
                <w:bCs/>
                <w:color w:val="000000"/>
              </w:rPr>
            </w:pPr>
            <w:r w:rsidRPr="00195F9B">
              <w:rPr>
                <w:rFonts w:eastAsia="Calibri"/>
                <w:bCs/>
                <w:color w:val="000000"/>
              </w:rPr>
              <w:t>5</w:t>
            </w:r>
          </w:p>
        </w:tc>
        <w:tc>
          <w:tcPr>
            <w:tcW w:w="3315" w:type="dxa"/>
            <w:shd w:val="clear" w:color="auto" w:fill="auto"/>
          </w:tcPr>
          <w:p w:rsidR="00195F9B" w:rsidRPr="00195F9B" w:rsidRDefault="00195F9B" w:rsidP="00195F9B">
            <w:pPr>
              <w:jc w:val="both"/>
              <w:rPr>
                <w:rFonts w:eastAsia="SimSun"/>
                <w:color w:val="000000"/>
                <w:lang w:eastAsia="en-US"/>
              </w:rPr>
            </w:pPr>
            <w:r w:rsidRPr="00195F9B">
              <w:rPr>
                <w:rFonts w:eastAsia="SimSun"/>
                <w:color w:val="000000"/>
                <w:lang w:eastAsia="en-US"/>
              </w:rPr>
              <w:t>П</w:t>
            </w:r>
            <w:r w:rsidRPr="00195F9B">
              <w:t>оверхностно-ознакомительная пальпация молочных желез</w:t>
            </w:r>
          </w:p>
        </w:tc>
        <w:tc>
          <w:tcPr>
            <w:tcW w:w="5757" w:type="dxa"/>
            <w:shd w:val="clear" w:color="auto" w:fill="auto"/>
          </w:tcPr>
          <w:p w:rsidR="00195F9B" w:rsidRPr="00195F9B" w:rsidRDefault="00195F9B" w:rsidP="00195F9B">
            <w:pPr>
              <w:jc w:val="both"/>
            </w:pPr>
            <w:r w:rsidRPr="00195F9B">
              <w:t>Молочные железы пальпируют в положении больной сидя, руки свободно свисают вдоль туловища, а затем занесены за голову.</w:t>
            </w:r>
          </w:p>
          <w:p w:rsidR="00195F9B" w:rsidRPr="00195F9B" w:rsidRDefault="00195F9B" w:rsidP="00195F9B">
            <w:pPr>
              <w:jc w:val="both"/>
            </w:pPr>
            <w:r w:rsidRPr="00195F9B">
              <w:t xml:space="preserve">Пальпация проводится подушечками четырьмя или тремя сомкнутыми пальцами. Большой палец в пальпации не участвует. </w:t>
            </w:r>
          </w:p>
          <w:p w:rsidR="00195F9B" w:rsidRPr="00195F9B" w:rsidRDefault="00195F9B" w:rsidP="00195F9B">
            <w:pPr>
              <w:jc w:val="both"/>
              <w:rPr>
                <w:rFonts w:eastAsia="SimSun"/>
                <w:color w:val="000000"/>
                <w:lang w:eastAsia="en-US"/>
              </w:rPr>
            </w:pPr>
            <w:r w:rsidRPr="00195F9B">
              <w:t>Вначале проводит поверхностно-ознакомительное прощупывание, когда подушечки пальцев не проникают в толщу железы, что дает возможность выявить небольшие образования, расположенные непосредственно под кожей. Затем проводит глубокое прощупывание, когда подушечки пальцев последовательно постепенно достигают ребер. Пальпацию проводит от ключицы до нижнего края ребер и от грудины до подмышечной линии, включая подмышечную область, где возможно обнаружение увеличенных лимфоузлов.</w:t>
            </w:r>
          </w:p>
        </w:tc>
      </w:tr>
      <w:tr w:rsidR="00195F9B" w:rsidRPr="00195F9B" w:rsidTr="00F23A54">
        <w:trPr>
          <w:trHeight w:val="131"/>
        </w:trPr>
        <w:tc>
          <w:tcPr>
            <w:tcW w:w="675" w:type="dxa"/>
            <w:shd w:val="clear" w:color="auto" w:fill="auto"/>
          </w:tcPr>
          <w:p w:rsidR="00195F9B" w:rsidRPr="00195F9B" w:rsidRDefault="00195F9B" w:rsidP="00195F9B">
            <w:pPr>
              <w:widowControl w:val="0"/>
              <w:shd w:val="clear" w:color="auto" w:fill="FFFFFF"/>
              <w:ind w:right="-24"/>
              <w:jc w:val="center"/>
              <w:rPr>
                <w:rFonts w:eastAsia="Calibri"/>
                <w:bCs/>
                <w:color w:val="000000"/>
              </w:rPr>
            </w:pPr>
            <w:r w:rsidRPr="00195F9B">
              <w:rPr>
                <w:rFonts w:eastAsia="Calibri"/>
                <w:bCs/>
                <w:color w:val="000000"/>
              </w:rPr>
              <w:t>6</w:t>
            </w:r>
          </w:p>
        </w:tc>
        <w:tc>
          <w:tcPr>
            <w:tcW w:w="3315" w:type="dxa"/>
            <w:shd w:val="clear" w:color="auto" w:fill="auto"/>
          </w:tcPr>
          <w:p w:rsidR="00195F9B" w:rsidRPr="00195F9B" w:rsidRDefault="00195F9B" w:rsidP="00195F9B">
            <w:pPr>
              <w:jc w:val="both"/>
            </w:pPr>
            <w:r w:rsidRPr="00195F9B">
              <w:t xml:space="preserve">Пальпация молочной железы </w:t>
            </w:r>
            <w:r w:rsidRPr="00195F9B">
              <w:lastRenderedPageBreak/>
              <w:t>методом квадратов.</w:t>
            </w:r>
          </w:p>
          <w:p w:rsidR="00195F9B" w:rsidRPr="00195F9B" w:rsidRDefault="00195F9B" w:rsidP="00195F9B">
            <w:pPr>
              <w:jc w:val="both"/>
              <w:rPr>
                <w:rFonts w:eastAsia="SimSun"/>
                <w:color w:val="000000"/>
                <w:lang w:eastAsia="en-US"/>
              </w:rPr>
            </w:pPr>
            <w:r w:rsidRPr="00195F9B">
              <w:t>Пальпация молочной железы методом спирали.</w:t>
            </w:r>
          </w:p>
        </w:tc>
        <w:tc>
          <w:tcPr>
            <w:tcW w:w="5757" w:type="dxa"/>
            <w:shd w:val="clear" w:color="auto" w:fill="auto"/>
          </w:tcPr>
          <w:p w:rsidR="00195F9B" w:rsidRPr="00195F9B" w:rsidRDefault="00195F9B" w:rsidP="00195F9B">
            <w:pPr>
              <w:jc w:val="both"/>
            </w:pPr>
            <w:r w:rsidRPr="00195F9B">
              <w:rPr>
                <w:b/>
              </w:rPr>
              <w:lastRenderedPageBreak/>
              <w:t>Пальпация молочной</w:t>
            </w:r>
            <w:r w:rsidRPr="00195F9B">
              <w:t xml:space="preserve"> ж</w:t>
            </w:r>
            <w:r w:rsidRPr="00195F9B">
              <w:rPr>
                <w:b/>
              </w:rPr>
              <w:t>елезы методом квадратов:</w:t>
            </w:r>
            <w:r w:rsidRPr="00195F9B">
              <w:t xml:space="preserve"> </w:t>
            </w:r>
            <w:r w:rsidRPr="00195F9B">
              <w:lastRenderedPageBreak/>
              <w:t>начиная от соска к периферии в следующей последовательности:</w:t>
            </w:r>
          </w:p>
          <w:p w:rsidR="00195F9B" w:rsidRPr="00195F9B" w:rsidRDefault="00195F9B" w:rsidP="00195F9B">
            <w:pPr>
              <w:ind w:left="-15" w:firstLine="15"/>
              <w:jc w:val="both"/>
            </w:pPr>
            <w:r w:rsidRPr="00195F9B">
              <w:t>а) наружно-верхний квадрант</w:t>
            </w:r>
          </w:p>
          <w:p w:rsidR="00195F9B" w:rsidRPr="00195F9B" w:rsidRDefault="00195F9B" w:rsidP="00195F9B">
            <w:pPr>
              <w:ind w:left="-15" w:firstLine="15"/>
              <w:jc w:val="both"/>
            </w:pPr>
            <w:r w:rsidRPr="00195F9B">
              <w:t>б) наружно-нижний квадрант</w:t>
            </w:r>
          </w:p>
          <w:p w:rsidR="00195F9B" w:rsidRPr="00195F9B" w:rsidRDefault="00195F9B" w:rsidP="00195F9B">
            <w:pPr>
              <w:ind w:left="-15" w:firstLine="15"/>
              <w:jc w:val="both"/>
            </w:pPr>
            <w:r w:rsidRPr="00195F9B">
              <w:t>в) внутренне-нижний квадрант</w:t>
            </w:r>
          </w:p>
          <w:p w:rsidR="00195F9B" w:rsidRPr="00195F9B" w:rsidRDefault="00195F9B" w:rsidP="00195F9B">
            <w:pPr>
              <w:ind w:left="-15" w:firstLine="15"/>
              <w:jc w:val="both"/>
            </w:pPr>
            <w:r w:rsidRPr="00195F9B">
              <w:t>г) внутренне-верхний квадрант</w:t>
            </w:r>
          </w:p>
          <w:p w:rsidR="00195F9B" w:rsidRPr="00195F9B" w:rsidRDefault="00195F9B" w:rsidP="00195F9B">
            <w:pPr>
              <w:jc w:val="both"/>
              <w:rPr>
                <w:rFonts w:eastAsia="SimSun"/>
                <w:color w:val="000000"/>
                <w:lang w:eastAsia="en-US"/>
              </w:rPr>
            </w:pPr>
            <w:r w:rsidRPr="00195F9B">
              <w:rPr>
                <w:b/>
              </w:rPr>
              <w:t>Пальпация молочной</w:t>
            </w:r>
            <w:r w:rsidRPr="00195F9B">
              <w:t xml:space="preserve"> ж</w:t>
            </w:r>
            <w:r w:rsidRPr="00195F9B">
              <w:rPr>
                <w:b/>
              </w:rPr>
              <w:t>елезы методом спирали</w:t>
            </w:r>
            <w:r w:rsidRPr="00195F9B">
              <w:t>: прощупывание молочной железы проводит по спирали в виде концентрически сходящихся окружностей, начиная от подмышки и до соска. Подушечки пальцев совершают круговые движения, перемещаясь в направлении соска.</w:t>
            </w:r>
          </w:p>
        </w:tc>
      </w:tr>
      <w:tr w:rsidR="00195F9B" w:rsidRPr="00195F9B" w:rsidTr="00F23A54">
        <w:trPr>
          <w:trHeight w:val="131"/>
        </w:trPr>
        <w:tc>
          <w:tcPr>
            <w:tcW w:w="675" w:type="dxa"/>
            <w:shd w:val="clear" w:color="auto" w:fill="auto"/>
          </w:tcPr>
          <w:p w:rsidR="00195F9B" w:rsidRPr="00195F9B" w:rsidRDefault="00195F9B" w:rsidP="00195F9B">
            <w:pPr>
              <w:widowControl w:val="0"/>
              <w:shd w:val="clear" w:color="auto" w:fill="FFFFFF"/>
              <w:ind w:right="-24"/>
              <w:jc w:val="center"/>
              <w:rPr>
                <w:rFonts w:eastAsia="Calibri"/>
                <w:bCs/>
                <w:color w:val="000000"/>
              </w:rPr>
            </w:pPr>
            <w:r w:rsidRPr="00195F9B">
              <w:rPr>
                <w:rFonts w:eastAsia="Calibri"/>
                <w:bCs/>
                <w:color w:val="000000"/>
              </w:rPr>
              <w:lastRenderedPageBreak/>
              <w:t>7</w:t>
            </w:r>
          </w:p>
        </w:tc>
        <w:tc>
          <w:tcPr>
            <w:tcW w:w="3315" w:type="dxa"/>
            <w:shd w:val="clear" w:color="auto" w:fill="auto"/>
          </w:tcPr>
          <w:p w:rsidR="00195F9B" w:rsidRPr="00195F9B" w:rsidRDefault="00195F9B" w:rsidP="00195F9B">
            <w:pPr>
              <w:jc w:val="both"/>
              <w:rPr>
                <w:rFonts w:eastAsia="SimSun"/>
                <w:color w:val="000000"/>
                <w:lang w:eastAsia="en-US"/>
              </w:rPr>
            </w:pPr>
            <w:r w:rsidRPr="00195F9B">
              <w:rPr>
                <w:rFonts w:eastAsia="SimSun"/>
                <w:color w:val="000000"/>
                <w:lang w:eastAsia="en-US"/>
              </w:rPr>
              <w:t xml:space="preserve">Снятие эмоционального напряжения </w:t>
            </w:r>
          </w:p>
        </w:tc>
        <w:tc>
          <w:tcPr>
            <w:tcW w:w="5757" w:type="dxa"/>
            <w:shd w:val="clear" w:color="auto" w:fill="auto"/>
          </w:tcPr>
          <w:p w:rsidR="00195F9B" w:rsidRPr="00195F9B" w:rsidRDefault="00195F9B" w:rsidP="00195F9B">
            <w:pPr>
              <w:jc w:val="both"/>
              <w:rPr>
                <w:rFonts w:eastAsia="SimSun"/>
                <w:color w:val="000000"/>
                <w:lang w:eastAsia="en-US"/>
              </w:rPr>
            </w:pPr>
            <w:r w:rsidRPr="00195F9B">
              <w:t>Продемонстрировал навык снятия эмоционального напряжения, использовал слова эмпатической поддержки.</w:t>
            </w:r>
          </w:p>
        </w:tc>
      </w:tr>
      <w:tr w:rsidR="00195F9B" w:rsidRPr="00195F9B" w:rsidTr="00F23A54">
        <w:trPr>
          <w:trHeight w:val="131"/>
        </w:trPr>
        <w:tc>
          <w:tcPr>
            <w:tcW w:w="675" w:type="dxa"/>
            <w:shd w:val="clear" w:color="auto" w:fill="auto"/>
          </w:tcPr>
          <w:p w:rsidR="00195F9B" w:rsidRPr="00195F9B" w:rsidRDefault="00195F9B" w:rsidP="00195F9B">
            <w:pPr>
              <w:widowControl w:val="0"/>
              <w:shd w:val="clear" w:color="auto" w:fill="FFFFFF"/>
              <w:ind w:right="-24"/>
              <w:jc w:val="center"/>
              <w:rPr>
                <w:rFonts w:eastAsia="Calibri"/>
                <w:bCs/>
                <w:color w:val="000000"/>
              </w:rPr>
            </w:pPr>
            <w:r w:rsidRPr="00195F9B">
              <w:rPr>
                <w:rFonts w:eastAsia="Calibri"/>
                <w:bCs/>
                <w:color w:val="000000"/>
              </w:rPr>
              <w:t>8</w:t>
            </w:r>
          </w:p>
        </w:tc>
        <w:tc>
          <w:tcPr>
            <w:tcW w:w="3315" w:type="dxa"/>
            <w:shd w:val="clear" w:color="auto" w:fill="auto"/>
          </w:tcPr>
          <w:p w:rsidR="00195F9B" w:rsidRPr="00195F9B" w:rsidRDefault="00195F9B" w:rsidP="00195F9B">
            <w:pPr>
              <w:jc w:val="both"/>
              <w:rPr>
                <w:rFonts w:eastAsia="SimSun"/>
                <w:color w:val="000000"/>
                <w:lang w:eastAsia="en-US"/>
              </w:rPr>
            </w:pPr>
            <w:r w:rsidRPr="00195F9B">
              <w:rPr>
                <w:rFonts w:eastAsiaTheme="minorHAnsi"/>
                <w:szCs w:val="22"/>
                <w:lang w:eastAsia="en-US"/>
              </w:rPr>
              <w:t xml:space="preserve">Осмотреть сосок и </w:t>
            </w:r>
            <w:proofErr w:type="spellStart"/>
            <w:r w:rsidRPr="00195F9B">
              <w:rPr>
                <w:rFonts w:eastAsiaTheme="minorHAnsi"/>
                <w:szCs w:val="22"/>
                <w:lang w:eastAsia="en-US"/>
              </w:rPr>
              <w:t>подсосковую</w:t>
            </w:r>
            <w:proofErr w:type="spellEnd"/>
            <w:r w:rsidRPr="00195F9B">
              <w:rPr>
                <w:rFonts w:eastAsiaTheme="minorHAnsi"/>
                <w:szCs w:val="22"/>
                <w:lang w:eastAsia="en-US"/>
              </w:rPr>
              <w:t xml:space="preserve"> область</w:t>
            </w:r>
          </w:p>
        </w:tc>
        <w:tc>
          <w:tcPr>
            <w:tcW w:w="5757" w:type="dxa"/>
            <w:shd w:val="clear" w:color="auto" w:fill="auto"/>
          </w:tcPr>
          <w:p w:rsidR="00195F9B" w:rsidRPr="00195F9B" w:rsidRDefault="00195F9B" w:rsidP="00195F9B">
            <w:pPr>
              <w:jc w:val="both"/>
              <w:rPr>
                <w:rFonts w:eastAsia="SimSun"/>
                <w:color w:val="000000"/>
                <w:lang w:eastAsia="en-US"/>
              </w:rPr>
            </w:pPr>
            <w:r w:rsidRPr="00195F9B">
              <w:t xml:space="preserve">При осмотре сосков определил изменения их формы и цвета, не втянуты ли, не мокнут ли, нет ли изъязвлений или трещин. Прощупывал сосок и </w:t>
            </w:r>
            <w:proofErr w:type="spellStart"/>
            <w:r w:rsidRPr="00195F9B">
              <w:t>подсосковую</w:t>
            </w:r>
            <w:proofErr w:type="spellEnd"/>
            <w:r w:rsidRPr="00195F9B">
              <w:t xml:space="preserve"> область, так как под соском может быть опухоль. В заключение осторожно берет сосок большим и указательным пальцами и надавливает на него, отмечая при этом характер выделений из него или отсутствие их.</w:t>
            </w:r>
          </w:p>
        </w:tc>
      </w:tr>
      <w:tr w:rsidR="00195F9B" w:rsidRPr="00195F9B" w:rsidTr="00F23A54">
        <w:trPr>
          <w:trHeight w:val="131"/>
        </w:trPr>
        <w:tc>
          <w:tcPr>
            <w:tcW w:w="675" w:type="dxa"/>
            <w:shd w:val="clear" w:color="auto" w:fill="auto"/>
          </w:tcPr>
          <w:p w:rsidR="00195F9B" w:rsidRPr="00195F9B" w:rsidRDefault="00195F9B" w:rsidP="00195F9B">
            <w:pPr>
              <w:widowControl w:val="0"/>
              <w:shd w:val="clear" w:color="auto" w:fill="FFFFFF"/>
              <w:ind w:right="-24"/>
              <w:jc w:val="center"/>
              <w:rPr>
                <w:rFonts w:eastAsia="Calibri"/>
                <w:bCs/>
                <w:color w:val="000000"/>
              </w:rPr>
            </w:pPr>
            <w:r w:rsidRPr="00195F9B">
              <w:rPr>
                <w:rFonts w:eastAsia="Calibri"/>
                <w:bCs/>
                <w:color w:val="000000"/>
              </w:rPr>
              <w:t>9</w:t>
            </w:r>
          </w:p>
        </w:tc>
        <w:tc>
          <w:tcPr>
            <w:tcW w:w="3315" w:type="dxa"/>
            <w:shd w:val="clear" w:color="auto" w:fill="auto"/>
          </w:tcPr>
          <w:p w:rsidR="00195F9B" w:rsidRPr="00195F9B" w:rsidRDefault="00195F9B" w:rsidP="00195F9B">
            <w:pPr>
              <w:jc w:val="both"/>
              <w:rPr>
                <w:rFonts w:eastAsia="SimSun"/>
                <w:color w:val="000000"/>
                <w:lang w:eastAsia="en-US"/>
              </w:rPr>
            </w:pPr>
            <w:r w:rsidRPr="00195F9B">
              <w:rPr>
                <w:rFonts w:eastAsiaTheme="minorHAnsi"/>
                <w:lang w:eastAsia="en-US"/>
              </w:rPr>
              <w:t>Пальпирует подмышечные лимфатические узлы.</w:t>
            </w:r>
          </w:p>
        </w:tc>
        <w:tc>
          <w:tcPr>
            <w:tcW w:w="5757" w:type="dxa"/>
            <w:shd w:val="clear" w:color="auto" w:fill="auto"/>
          </w:tcPr>
          <w:p w:rsidR="00195F9B" w:rsidRPr="00195F9B" w:rsidRDefault="00195F9B" w:rsidP="00195F9B">
            <w:pPr>
              <w:jc w:val="both"/>
              <w:rPr>
                <w:rFonts w:eastAsia="SimSun"/>
                <w:color w:val="000000"/>
                <w:sz w:val="22"/>
                <w:szCs w:val="22"/>
                <w:lang w:eastAsia="en-US"/>
              </w:rPr>
            </w:pPr>
            <w:r w:rsidRPr="00195F9B">
              <w:t xml:space="preserve">Пальпирует подмышечные лимфатические узлы. Это делается одновременно с ощупыванием наружных квадрантов молочных желез. Затем пальпирует надключичные лимфатические узлы (в надключичных ямках) и шейные лимфоузлы, расположенные вдоль </w:t>
            </w:r>
            <w:proofErr w:type="spellStart"/>
            <w:r w:rsidRPr="00195F9B">
              <w:t>кивательных</w:t>
            </w:r>
            <w:proofErr w:type="spellEnd"/>
            <w:r w:rsidRPr="00195F9B">
              <w:t xml:space="preserve"> мышц, видимых спереди шеи в виде парных валиков, идущих от </w:t>
            </w:r>
            <w:proofErr w:type="spellStart"/>
            <w:r w:rsidRPr="00195F9B">
              <w:t>надгрудинных</w:t>
            </w:r>
            <w:proofErr w:type="spellEnd"/>
            <w:r w:rsidRPr="00195F9B">
              <w:t xml:space="preserve"> ямки до сосцевидного отростка височной кости с каждой стороны.</w:t>
            </w:r>
          </w:p>
        </w:tc>
      </w:tr>
      <w:tr w:rsidR="00195F9B" w:rsidRPr="00195F9B" w:rsidTr="00F23A54">
        <w:trPr>
          <w:trHeight w:val="131"/>
        </w:trPr>
        <w:tc>
          <w:tcPr>
            <w:tcW w:w="675" w:type="dxa"/>
            <w:shd w:val="clear" w:color="auto" w:fill="auto"/>
          </w:tcPr>
          <w:p w:rsidR="00195F9B" w:rsidRPr="00195F9B" w:rsidRDefault="00195F9B" w:rsidP="00195F9B">
            <w:pPr>
              <w:widowControl w:val="0"/>
              <w:shd w:val="clear" w:color="auto" w:fill="FFFFFF"/>
              <w:ind w:right="-24"/>
              <w:jc w:val="center"/>
              <w:rPr>
                <w:rFonts w:eastAsia="Calibri"/>
                <w:bCs/>
                <w:color w:val="000000"/>
              </w:rPr>
            </w:pPr>
            <w:r w:rsidRPr="00195F9B">
              <w:rPr>
                <w:rFonts w:eastAsia="Calibri"/>
                <w:bCs/>
                <w:color w:val="000000"/>
              </w:rPr>
              <w:t>10.</w:t>
            </w:r>
          </w:p>
        </w:tc>
        <w:tc>
          <w:tcPr>
            <w:tcW w:w="3315" w:type="dxa"/>
            <w:shd w:val="clear" w:color="auto" w:fill="auto"/>
          </w:tcPr>
          <w:p w:rsidR="00195F9B" w:rsidRPr="00195F9B" w:rsidRDefault="00195F9B" w:rsidP="00195F9B">
            <w:pPr>
              <w:jc w:val="both"/>
              <w:rPr>
                <w:rFonts w:eastAsia="SimSun"/>
                <w:color w:val="000000"/>
                <w:lang w:eastAsia="en-US"/>
              </w:rPr>
            </w:pPr>
            <w:r w:rsidRPr="00195F9B">
              <w:rPr>
                <w:rFonts w:eastAsia="SimSun"/>
                <w:color w:val="000000"/>
                <w:lang w:eastAsia="en-US"/>
              </w:rPr>
              <w:t xml:space="preserve">Утилизировать использованные материалы и продемонстрировать навык комментирования </w:t>
            </w:r>
          </w:p>
        </w:tc>
        <w:tc>
          <w:tcPr>
            <w:tcW w:w="5757" w:type="dxa"/>
            <w:shd w:val="clear" w:color="auto" w:fill="auto"/>
          </w:tcPr>
          <w:p w:rsidR="00195F9B" w:rsidRPr="00195F9B" w:rsidRDefault="00195F9B" w:rsidP="00195F9B">
            <w:pPr>
              <w:jc w:val="both"/>
              <w:rPr>
                <w:sz w:val="22"/>
                <w:szCs w:val="22"/>
              </w:rPr>
            </w:pPr>
            <w:r w:rsidRPr="00195F9B">
              <w:rPr>
                <w:sz w:val="22"/>
                <w:szCs w:val="22"/>
              </w:rPr>
              <w:t xml:space="preserve">Снял перчатки, выбросил в контейнер для утилизаций. Вымыл руки и </w:t>
            </w:r>
            <w:proofErr w:type="spellStart"/>
            <w:r w:rsidRPr="00195F9B">
              <w:rPr>
                <w:sz w:val="22"/>
                <w:szCs w:val="22"/>
              </w:rPr>
              <w:t>вытерел</w:t>
            </w:r>
            <w:proofErr w:type="spellEnd"/>
            <w:r w:rsidRPr="00195F9B">
              <w:rPr>
                <w:sz w:val="22"/>
                <w:szCs w:val="22"/>
              </w:rPr>
              <w:t xml:space="preserve"> одноразовым полотенцем.</w:t>
            </w:r>
          </w:p>
          <w:p w:rsidR="00195F9B" w:rsidRPr="00195F9B" w:rsidRDefault="00195F9B" w:rsidP="00195F9B">
            <w:pPr>
              <w:jc w:val="both"/>
              <w:rPr>
                <w:rFonts w:eastAsia="SimSun"/>
                <w:color w:val="000000"/>
                <w:lang w:eastAsia="en-US"/>
              </w:rPr>
            </w:pPr>
            <w:r w:rsidRPr="00195F9B">
              <w:rPr>
                <w:rFonts w:eastAsia="SimSun"/>
                <w:color w:val="000000"/>
                <w:sz w:val="22"/>
                <w:szCs w:val="22"/>
              </w:rPr>
              <w:t>Продемонстрировал навык комментирования и информирования</w:t>
            </w:r>
          </w:p>
        </w:tc>
      </w:tr>
    </w:tbl>
    <w:p w:rsidR="002D7DF8" w:rsidRDefault="002D7DF8" w:rsidP="00B01679">
      <w:pPr>
        <w:ind w:right="525"/>
        <w:rPr>
          <w:rFonts w:eastAsiaTheme="minorHAnsi"/>
          <w:b/>
          <w:bCs/>
          <w:color w:val="000000"/>
          <w:lang w:eastAsia="en-US"/>
        </w:rPr>
      </w:pPr>
    </w:p>
    <w:sectPr w:rsidR="002D7DF8">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38E" w:rsidRDefault="00C3438E" w:rsidP="00961378">
      <w:r>
        <w:separator/>
      </w:r>
    </w:p>
  </w:endnote>
  <w:endnote w:type="continuationSeparator" w:id="0">
    <w:p w:rsidR="00C3438E" w:rsidRDefault="00C3438E" w:rsidP="00961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38E" w:rsidRDefault="00C3438E" w:rsidP="00961378">
      <w:r>
        <w:separator/>
      </w:r>
    </w:p>
  </w:footnote>
  <w:footnote w:type="continuationSeparator" w:id="0">
    <w:p w:rsidR="00C3438E" w:rsidRDefault="00C3438E" w:rsidP="00961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1013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75"/>
      <w:gridCol w:w="3721"/>
      <w:gridCol w:w="3526"/>
      <w:gridCol w:w="1717"/>
    </w:tblGrid>
    <w:tr w:rsidR="00961378" w:rsidTr="00BA2C0D">
      <w:trPr>
        <w:trHeight w:val="765"/>
        <w:jc w:val="center"/>
      </w:trPr>
      <w:tc>
        <w:tcPr>
          <w:tcW w:w="1175" w:type="dxa"/>
          <w:vMerge w:val="restart"/>
        </w:tcPr>
        <w:p w:rsidR="00961378" w:rsidRPr="00082BDA" w:rsidRDefault="00961378" w:rsidP="00BA2C0D">
          <w:pPr>
            <w:pStyle w:val="a5"/>
            <w:rPr>
              <w:sz w:val="6"/>
            </w:rPr>
          </w:pPr>
        </w:p>
        <w:p w:rsidR="00961378" w:rsidRPr="00082BDA" w:rsidRDefault="00961378" w:rsidP="00BA2C0D">
          <w:r>
            <w:rPr>
              <w:b/>
              <w:noProof/>
              <w:sz w:val="14"/>
              <w:szCs w:val="14"/>
            </w:rPr>
            <w:drawing>
              <wp:inline distT="0" distB="0" distL="0" distR="0" wp14:anchorId="5A481AA5" wp14:editId="1B332421">
                <wp:extent cx="566930"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srcRect r="73721"/>
                        <a:stretch>
                          <a:fillRect/>
                        </a:stretch>
                      </pic:blipFill>
                      <pic:spPr bwMode="auto">
                        <a:xfrm>
                          <a:off x="0" y="0"/>
                          <a:ext cx="603657" cy="699802"/>
                        </a:xfrm>
                        <a:prstGeom prst="rect">
                          <a:avLst/>
                        </a:prstGeom>
                        <a:noFill/>
                        <a:ln w="9525">
                          <a:noFill/>
                          <a:miter lim="800000"/>
                          <a:headEnd/>
                          <a:tailEnd/>
                        </a:ln>
                      </pic:spPr>
                    </pic:pic>
                  </a:graphicData>
                </a:graphic>
              </wp:inline>
            </w:drawing>
          </w:r>
        </w:p>
      </w:tc>
      <w:tc>
        <w:tcPr>
          <w:tcW w:w="8964" w:type="dxa"/>
          <w:gridSpan w:val="3"/>
        </w:tcPr>
        <w:p w:rsidR="00961378" w:rsidRPr="00EA3CA5" w:rsidRDefault="00961378" w:rsidP="00BA2C0D">
          <w:pPr>
            <w:ind w:left="51" w:hanging="5"/>
            <w:contextualSpacing/>
            <w:jc w:val="center"/>
            <w:rPr>
              <w:rFonts w:ascii="Tahoma" w:hAnsi="Tahoma" w:cs="Tahoma"/>
              <w:b/>
              <w:sz w:val="8"/>
              <w:szCs w:val="17"/>
              <w:lang w:val="kk-KZ"/>
            </w:rPr>
          </w:pPr>
        </w:p>
        <w:p w:rsidR="00961378" w:rsidRPr="00D12C8F" w:rsidRDefault="00961378" w:rsidP="00BA2C0D">
          <w:pPr>
            <w:jc w:val="center"/>
            <w:rPr>
              <w:rFonts w:ascii="Tahoma" w:hAnsi="Tahoma" w:cs="Tahoma"/>
              <w:b/>
              <w:sz w:val="17"/>
              <w:szCs w:val="17"/>
              <w:lang w:val="kk-KZ"/>
            </w:rPr>
          </w:pPr>
          <w:r>
            <w:rPr>
              <w:rFonts w:ascii="Tahoma" w:hAnsi="Tahoma" w:cs="Tahoma"/>
              <w:b/>
              <w:bCs/>
              <w:sz w:val="17"/>
              <w:szCs w:val="17"/>
              <w:lang w:val="kk-KZ"/>
            </w:rPr>
            <w:t xml:space="preserve">«С.Ж.АСФЕНДИЯРОВ АТЫНДАҒЫ ҚАЗАҚ </w:t>
          </w:r>
          <w:r w:rsidRPr="00EF0B36">
            <w:rPr>
              <w:rFonts w:ascii="Tahoma" w:hAnsi="Tahoma" w:cs="Tahoma"/>
              <w:b/>
              <w:bCs/>
              <w:sz w:val="17"/>
              <w:szCs w:val="17"/>
              <w:lang w:val="kk-KZ"/>
            </w:rPr>
            <w:t xml:space="preserve">ҰЛТТЫҚ МЕДИЦИНА УНИВЕРСИТЕТІ» </w:t>
          </w:r>
          <w:r>
            <w:rPr>
              <w:rFonts w:ascii="Tahoma" w:hAnsi="Tahoma" w:cs="Tahoma"/>
              <w:b/>
              <w:bCs/>
              <w:sz w:val="17"/>
              <w:szCs w:val="17"/>
              <w:lang w:val="kk-KZ"/>
            </w:rPr>
            <w:t>КЕА</w:t>
          </w:r>
          <w:r w:rsidRPr="00EF0B36">
            <w:rPr>
              <w:rFonts w:ascii="Tahoma" w:hAnsi="Tahoma" w:cs="Tahoma"/>
              <w:b/>
              <w:bCs/>
              <w:sz w:val="17"/>
              <w:szCs w:val="17"/>
              <w:lang w:val="kk-KZ"/>
            </w:rPr>
            <w:t>Қ</w:t>
          </w:r>
          <w:r>
            <w:rPr>
              <w:rFonts w:ascii="Tahoma" w:hAnsi="Tahoma" w:cs="Tahoma"/>
              <w:b/>
              <w:bCs/>
              <w:sz w:val="17"/>
              <w:szCs w:val="17"/>
              <w:lang w:val="kk-KZ"/>
            </w:rPr>
            <w:t xml:space="preserve"> </w:t>
          </w:r>
        </w:p>
        <w:p w:rsidR="00961378" w:rsidRPr="00D12C8F" w:rsidRDefault="00961378" w:rsidP="00BA2C0D">
          <w:pPr>
            <w:contextualSpacing/>
            <w:jc w:val="center"/>
            <w:rPr>
              <w:rFonts w:ascii="Tahoma" w:hAnsi="Tahoma" w:cs="Tahoma"/>
              <w:b/>
              <w:sz w:val="4"/>
              <w:szCs w:val="17"/>
              <w:lang w:val="kk-KZ"/>
            </w:rPr>
          </w:pPr>
        </w:p>
        <w:p w:rsidR="00961378" w:rsidRPr="00EF0B36" w:rsidRDefault="00961378" w:rsidP="00BA2C0D">
          <w:pPr>
            <w:tabs>
              <w:tab w:val="center" w:pos="4677"/>
              <w:tab w:val="right" w:pos="9355"/>
            </w:tabs>
            <w:contextualSpacing/>
            <w:jc w:val="center"/>
            <w:rPr>
              <w:rFonts w:ascii="Tahoma" w:hAnsi="Tahoma" w:cs="Tahoma"/>
              <w:b/>
              <w:sz w:val="17"/>
              <w:szCs w:val="17"/>
            </w:rPr>
          </w:pPr>
          <w:r>
            <w:rPr>
              <w:rFonts w:ascii="Tahoma" w:hAnsi="Tahoma" w:cs="Tahoma"/>
              <w:b/>
              <w:sz w:val="17"/>
              <w:szCs w:val="17"/>
              <w:lang w:val="kk-KZ"/>
            </w:rPr>
            <w:t>НАО</w:t>
          </w:r>
          <w:r w:rsidRPr="00EF0B36">
            <w:rPr>
              <w:rFonts w:ascii="Tahoma" w:hAnsi="Tahoma" w:cs="Tahoma"/>
              <w:b/>
              <w:sz w:val="17"/>
              <w:szCs w:val="17"/>
              <w:lang w:val="kk-KZ"/>
            </w:rPr>
            <w:t xml:space="preserve"> </w:t>
          </w:r>
          <w:r>
            <w:rPr>
              <w:rFonts w:ascii="Tahoma" w:hAnsi="Tahoma" w:cs="Tahoma"/>
              <w:b/>
              <w:sz w:val="17"/>
              <w:szCs w:val="17"/>
            </w:rPr>
            <w:t>«</w:t>
          </w:r>
          <w:r>
            <w:rPr>
              <w:rFonts w:ascii="Tahoma" w:hAnsi="Tahoma" w:cs="Tahoma"/>
              <w:b/>
              <w:sz w:val="17"/>
              <w:szCs w:val="17"/>
              <w:lang w:val="kk-KZ"/>
            </w:rPr>
            <w:t xml:space="preserve">КАЗАХСКИЙ </w:t>
          </w:r>
          <w:r w:rsidRPr="00EF0B36">
            <w:rPr>
              <w:rFonts w:ascii="Tahoma" w:hAnsi="Tahoma" w:cs="Tahoma"/>
              <w:b/>
              <w:sz w:val="17"/>
              <w:szCs w:val="17"/>
            </w:rPr>
            <w:t>НАЦИОНАЛЬНЫЙ МЕДИЦИНСКИЙ УНИВЕРСИТЕТ</w:t>
          </w:r>
          <w:r>
            <w:rPr>
              <w:rFonts w:ascii="Tahoma" w:hAnsi="Tahoma" w:cs="Tahoma"/>
              <w:b/>
              <w:sz w:val="17"/>
              <w:szCs w:val="17"/>
              <w:lang w:val="kk-KZ"/>
            </w:rPr>
            <w:t xml:space="preserve"> ИМЕНИ С.Д. АСФЕНДИЯРОВА</w:t>
          </w:r>
          <w:r w:rsidRPr="00EF0B36">
            <w:rPr>
              <w:rFonts w:ascii="Tahoma" w:hAnsi="Tahoma" w:cs="Tahoma"/>
              <w:b/>
              <w:sz w:val="17"/>
              <w:szCs w:val="17"/>
            </w:rPr>
            <w:t>»</w:t>
          </w:r>
        </w:p>
        <w:p w:rsidR="00961378" w:rsidRPr="00EA3CA5" w:rsidRDefault="00961378" w:rsidP="00BA2C0D">
          <w:pPr>
            <w:pStyle w:val="a5"/>
            <w:rPr>
              <w:rFonts w:ascii="Tahoma" w:hAnsi="Tahoma" w:cs="Tahoma"/>
              <w:sz w:val="8"/>
            </w:rPr>
          </w:pPr>
        </w:p>
      </w:tc>
    </w:tr>
    <w:tr w:rsidR="00961378" w:rsidTr="00BA2C0D">
      <w:trPr>
        <w:trHeight w:val="236"/>
        <w:jc w:val="center"/>
      </w:trPr>
      <w:tc>
        <w:tcPr>
          <w:tcW w:w="1175" w:type="dxa"/>
          <w:vMerge/>
        </w:tcPr>
        <w:p w:rsidR="00961378" w:rsidRDefault="00961378" w:rsidP="00BA2C0D">
          <w:pPr>
            <w:pStyle w:val="a5"/>
          </w:pPr>
        </w:p>
      </w:tc>
      <w:tc>
        <w:tcPr>
          <w:tcW w:w="3721" w:type="dxa"/>
          <w:vMerge w:val="restart"/>
          <w:vAlign w:val="center"/>
        </w:tcPr>
        <w:p w:rsidR="00961378" w:rsidRPr="00EA3CA5" w:rsidRDefault="00961378" w:rsidP="00BA2C0D">
          <w:pPr>
            <w:pStyle w:val="a5"/>
            <w:jc w:val="center"/>
            <w:rPr>
              <w:rFonts w:ascii="Tahoma" w:hAnsi="Tahoma" w:cs="Tahoma"/>
            </w:rPr>
          </w:pPr>
          <w:r>
            <w:rPr>
              <w:sz w:val="17"/>
              <w:szCs w:val="17"/>
              <w:lang w:val="kk-KZ"/>
            </w:rPr>
            <w:t>Симуляционный Центр</w:t>
          </w:r>
        </w:p>
      </w:tc>
      <w:tc>
        <w:tcPr>
          <w:tcW w:w="3526" w:type="dxa"/>
          <w:vMerge w:val="restart"/>
          <w:vAlign w:val="center"/>
        </w:tcPr>
        <w:p w:rsidR="00961378" w:rsidRPr="004C3FDD" w:rsidRDefault="0030151A" w:rsidP="00BA2C0D">
          <w:pPr>
            <w:jc w:val="center"/>
            <w:rPr>
              <w:sz w:val="17"/>
              <w:szCs w:val="17"/>
              <w:lang w:val="kk-KZ"/>
            </w:rPr>
          </w:pPr>
          <w:r>
            <w:rPr>
              <w:sz w:val="17"/>
              <w:szCs w:val="17"/>
              <w:lang w:val="kk-KZ"/>
            </w:rPr>
            <w:t xml:space="preserve">Алгоритм </w:t>
          </w:r>
        </w:p>
      </w:tc>
      <w:tc>
        <w:tcPr>
          <w:tcW w:w="1715" w:type="dxa"/>
        </w:tcPr>
        <w:p w:rsidR="00961378" w:rsidRPr="003A67C1" w:rsidRDefault="00961378" w:rsidP="00BA2C0D">
          <w:pPr>
            <w:pStyle w:val="a5"/>
            <w:jc w:val="center"/>
            <w:rPr>
              <w:color w:val="7030A0"/>
              <w:lang w:val="kk-KZ"/>
            </w:rPr>
          </w:pPr>
          <w:r w:rsidRPr="004C3FDD">
            <w:rPr>
              <w:color w:val="7030A0"/>
              <w:sz w:val="17"/>
              <w:szCs w:val="17"/>
            </w:rPr>
            <w:t xml:space="preserve">Редакция: </w:t>
          </w:r>
          <w:r>
            <w:rPr>
              <w:color w:val="7030A0"/>
              <w:sz w:val="17"/>
              <w:szCs w:val="17"/>
              <w:lang w:val="kk-KZ"/>
            </w:rPr>
            <w:t>1</w:t>
          </w:r>
        </w:p>
      </w:tc>
    </w:tr>
    <w:tr w:rsidR="00961378" w:rsidTr="00BA2C0D">
      <w:trPr>
        <w:trHeight w:val="183"/>
        <w:jc w:val="center"/>
      </w:trPr>
      <w:tc>
        <w:tcPr>
          <w:tcW w:w="1175" w:type="dxa"/>
          <w:vMerge/>
        </w:tcPr>
        <w:p w:rsidR="00961378" w:rsidRDefault="00961378" w:rsidP="00BA2C0D">
          <w:pPr>
            <w:pStyle w:val="a5"/>
          </w:pPr>
        </w:p>
      </w:tc>
      <w:tc>
        <w:tcPr>
          <w:tcW w:w="3721" w:type="dxa"/>
          <w:vMerge/>
        </w:tcPr>
        <w:p w:rsidR="00961378" w:rsidRPr="00EA3CA5" w:rsidRDefault="00961378" w:rsidP="00BA2C0D">
          <w:pPr>
            <w:pStyle w:val="a5"/>
            <w:rPr>
              <w:rFonts w:ascii="Tahoma" w:hAnsi="Tahoma" w:cs="Tahoma"/>
            </w:rPr>
          </w:pPr>
        </w:p>
      </w:tc>
      <w:tc>
        <w:tcPr>
          <w:tcW w:w="3526" w:type="dxa"/>
          <w:vMerge/>
        </w:tcPr>
        <w:p w:rsidR="00961378" w:rsidRPr="00EA3CA5" w:rsidRDefault="00961378" w:rsidP="00BA2C0D">
          <w:pPr>
            <w:pStyle w:val="a5"/>
            <w:rPr>
              <w:rFonts w:ascii="Tahoma" w:hAnsi="Tahoma" w:cs="Tahoma"/>
            </w:rPr>
          </w:pPr>
        </w:p>
      </w:tc>
      <w:tc>
        <w:tcPr>
          <w:tcW w:w="1715" w:type="dxa"/>
        </w:tcPr>
        <w:p w:rsidR="00961378" w:rsidRPr="004C3FDD" w:rsidRDefault="00961378" w:rsidP="00BA2C0D">
          <w:pPr>
            <w:pStyle w:val="a5"/>
            <w:jc w:val="center"/>
            <w:rPr>
              <w:color w:val="7030A0"/>
              <w:sz w:val="17"/>
              <w:szCs w:val="17"/>
            </w:rPr>
          </w:pPr>
          <w:r w:rsidRPr="004C3FDD">
            <w:rPr>
              <w:color w:val="7030A0"/>
              <w:sz w:val="17"/>
              <w:szCs w:val="17"/>
            </w:rPr>
            <w:t xml:space="preserve">Страница </w:t>
          </w:r>
          <w:r w:rsidRPr="004C3FDD">
            <w:rPr>
              <w:color w:val="7030A0"/>
              <w:sz w:val="17"/>
              <w:szCs w:val="17"/>
              <w:lang w:val="en-US"/>
            </w:rPr>
            <w:fldChar w:fldCharType="begin"/>
          </w:r>
          <w:r w:rsidRPr="004C3FDD">
            <w:rPr>
              <w:color w:val="7030A0"/>
              <w:sz w:val="17"/>
              <w:szCs w:val="17"/>
              <w:lang w:val="en-US"/>
            </w:rPr>
            <w:instrText>PAGE  \* Arabic  \* MERGEFORMAT</w:instrText>
          </w:r>
          <w:r w:rsidRPr="004C3FDD">
            <w:rPr>
              <w:color w:val="7030A0"/>
              <w:sz w:val="17"/>
              <w:szCs w:val="17"/>
              <w:lang w:val="en-US"/>
            </w:rPr>
            <w:fldChar w:fldCharType="separate"/>
          </w:r>
          <w:r w:rsidR="00AF4F6A">
            <w:rPr>
              <w:noProof/>
              <w:color w:val="7030A0"/>
              <w:sz w:val="17"/>
              <w:szCs w:val="17"/>
              <w:lang w:val="en-US"/>
            </w:rPr>
            <w:t>1</w:t>
          </w:r>
          <w:r w:rsidRPr="004C3FDD">
            <w:rPr>
              <w:color w:val="7030A0"/>
              <w:sz w:val="17"/>
              <w:szCs w:val="17"/>
              <w:lang w:val="en-US"/>
            </w:rPr>
            <w:fldChar w:fldCharType="end"/>
          </w:r>
          <w:r w:rsidRPr="004C3FDD">
            <w:rPr>
              <w:color w:val="7030A0"/>
              <w:sz w:val="17"/>
              <w:szCs w:val="17"/>
            </w:rPr>
            <w:t xml:space="preserve"> из</w:t>
          </w:r>
          <w:r>
            <w:rPr>
              <w:color w:val="7030A0"/>
              <w:sz w:val="17"/>
              <w:szCs w:val="17"/>
            </w:rPr>
            <w:t xml:space="preserve"> </w:t>
          </w:r>
          <w:fldSimple w:instr="NUMPAGES  \* Arabic  \* MERGEFORMAT">
            <w:r w:rsidR="00AF4F6A" w:rsidRPr="00AF4F6A">
              <w:rPr>
                <w:noProof/>
                <w:color w:val="7030A0"/>
                <w:sz w:val="17"/>
                <w:szCs w:val="17"/>
                <w:lang w:val="en-US"/>
              </w:rPr>
              <w:t>2</w:t>
            </w:r>
          </w:fldSimple>
        </w:p>
      </w:tc>
    </w:tr>
  </w:tbl>
  <w:p w:rsidR="00961378" w:rsidRDefault="0096137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02B"/>
    <w:rsid w:val="000A1726"/>
    <w:rsid w:val="000F7978"/>
    <w:rsid w:val="00116DA1"/>
    <w:rsid w:val="00120F06"/>
    <w:rsid w:val="00131E13"/>
    <w:rsid w:val="00195F9B"/>
    <w:rsid w:val="001B2F02"/>
    <w:rsid w:val="001F46C9"/>
    <w:rsid w:val="0026002B"/>
    <w:rsid w:val="002712BE"/>
    <w:rsid w:val="00283B7B"/>
    <w:rsid w:val="002D7DF8"/>
    <w:rsid w:val="0030151A"/>
    <w:rsid w:val="0030215F"/>
    <w:rsid w:val="00391D45"/>
    <w:rsid w:val="003C546C"/>
    <w:rsid w:val="003E7869"/>
    <w:rsid w:val="004B5023"/>
    <w:rsid w:val="004C34BC"/>
    <w:rsid w:val="005514BE"/>
    <w:rsid w:val="00576723"/>
    <w:rsid w:val="005D2623"/>
    <w:rsid w:val="006632D2"/>
    <w:rsid w:val="00671980"/>
    <w:rsid w:val="006925BC"/>
    <w:rsid w:val="007226AB"/>
    <w:rsid w:val="007A4CF6"/>
    <w:rsid w:val="00842568"/>
    <w:rsid w:val="00961378"/>
    <w:rsid w:val="00987174"/>
    <w:rsid w:val="00A26B36"/>
    <w:rsid w:val="00AF4F6A"/>
    <w:rsid w:val="00B01679"/>
    <w:rsid w:val="00B20C13"/>
    <w:rsid w:val="00B22C58"/>
    <w:rsid w:val="00B27D3B"/>
    <w:rsid w:val="00BE51D5"/>
    <w:rsid w:val="00C17725"/>
    <w:rsid w:val="00C3438E"/>
    <w:rsid w:val="00CA3820"/>
    <w:rsid w:val="00D14676"/>
    <w:rsid w:val="00D15CE3"/>
    <w:rsid w:val="00D648EE"/>
    <w:rsid w:val="00DE5BF8"/>
    <w:rsid w:val="00E30504"/>
    <w:rsid w:val="00E33C3A"/>
    <w:rsid w:val="00E521A2"/>
    <w:rsid w:val="00E65B7E"/>
    <w:rsid w:val="00E7108F"/>
    <w:rsid w:val="00E7772E"/>
    <w:rsid w:val="00FC0ADE"/>
    <w:rsid w:val="00FD0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5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26002B"/>
    <w:pPr>
      <w:jc w:val="center"/>
    </w:pPr>
    <w:rPr>
      <w:rFonts w:eastAsiaTheme="minorEastAsia"/>
      <w:b/>
      <w:bCs/>
      <w:sz w:val="28"/>
    </w:rPr>
  </w:style>
  <w:style w:type="character" w:customStyle="1" w:styleId="a4">
    <w:name w:val="Подзаголовок Знак"/>
    <w:basedOn w:val="a0"/>
    <w:link w:val="a3"/>
    <w:rsid w:val="0026002B"/>
    <w:rPr>
      <w:rFonts w:ascii="Times New Roman" w:eastAsiaTheme="minorEastAsia" w:hAnsi="Times New Roman" w:cs="Times New Roman"/>
      <w:b/>
      <w:bCs/>
      <w:sz w:val="28"/>
      <w:szCs w:val="24"/>
      <w:lang w:eastAsia="ru-RU"/>
    </w:rPr>
  </w:style>
  <w:style w:type="paragraph" w:styleId="a5">
    <w:name w:val="header"/>
    <w:basedOn w:val="a"/>
    <w:link w:val="a6"/>
    <w:uiPriority w:val="99"/>
    <w:unhideWhenUsed/>
    <w:rsid w:val="00961378"/>
    <w:pPr>
      <w:tabs>
        <w:tab w:val="center" w:pos="4677"/>
        <w:tab w:val="right" w:pos="9355"/>
      </w:tabs>
    </w:pPr>
  </w:style>
  <w:style w:type="character" w:customStyle="1" w:styleId="a6">
    <w:name w:val="Верхний колонтитул Знак"/>
    <w:basedOn w:val="a0"/>
    <w:link w:val="a5"/>
    <w:uiPriority w:val="99"/>
    <w:rsid w:val="0096137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61378"/>
    <w:pPr>
      <w:tabs>
        <w:tab w:val="center" w:pos="4677"/>
        <w:tab w:val="right" w:pos="9355"/>
      </w:tabs>
    </w:pPr>
  </w:style>
  <w:style w:type="character" w:customStyle="1" w:styleId="a8">
    <w:name w:val="Нижний колонтитул Знак"/>
    <w:basedOn w:val="a0"/>
    <w:link w:val="a7"/>
    <w:uiPriority w:val="99"/>
    <w:rsid w:val="00961378"/>
    <w:rPr>
      <w:rFonts w:ascii="Times New Roman" w:eastAsia="Times New Roman" w:hAnsi="Times New Roman" w:cs="Times New Roman"/>
      <w:sz w:val="24"/>
      <w:szCs w:val="24"/>
      <w:lang w:eastAsia="ru-RU"/>
    </w:rPr>
  </w:style>
  <w:style w:type="table" w:styleId="a9">
    <w:name w:val="Table Grid"/>
    <w:basedOn w:val="a1"/>
    <w:uiPriority w:val="59"/>
    <w:rsid w:val="009613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961378"/>
    <w:rPr>
      <w:rFonts w:ascii="Tahoma" w:hAnsi="Tahoma" w:cs="Tahoma"/>
      <w:sz w:val="16"/>
      <w:szCs w:val="16"/>
    </w:rPr>
  </w:style>
  <w:style w:type="character" w:customStyle="1" w:styleId="ab">
    <w:name w:val="Текст выноски Знак"/>
    <w:basedOn w:val="a0"/>
    <w:link w:val="aa"/>
    <w:uiPriority w:val="99"/>
    <w:semiHidden/>
    <w:rsid w:val="0096137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5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26002B"/>
    <w:pPr>
      <w:jc w:val="center"/>
    </w:pPr>
    <w:rPr>
      <w:rFonts w:eastAsiaTheme="minorEastAsia"/>
      <w:b/>
      <w:bCs/>
      <w:sz w:val="28"/>
    </w:rPr>
  </w:style>
  <w:style w:type="character" w:customStyle="1" w:styleId="a4">
    <w:name w:val="Подзаголовок Знак"/>
    <w:basedOn w:val="a0"/>
    <w:link w:val="a3"/>
    <w:rsid w:val="0026002B"/>
    <w:rPr>
      <w:rFonts w:ascii="Times New Roman" w:eastAsiaTheme="minorEastAsia" w:hAnsi="Times New Roman" w:cs="Times New Roman"/>
      <w:b/>
      <w:bCs/>
      <w:sz w:val="28"/>
      <w:szCs w:val="24"/>
      <w:lang w:eastAsia="ru-RU"/>
    </w:rPr>
  </w:style>
  <w:style w:type="paragraph" w:styleId="a5">
    <w:name w:val="header"/>
    <w:basedOn w:val="a"/>
    <w:link w:val="a6"/>
    <w:uiPriority w:val="99"/>
    <w:unhideWhenUsed/>
    <w:rsid w:val="00961378"/>
    <w:pPr>
      <w:tabs>
        <w:tab w:val="center" w:pos="4677"/>
        <w:tab w:val="right" w:pos="9355"/>
      </w:tabs>
    </w:pPr>
  </w:style>
  <w:style w:type="character" w:customStyle="1" w:styleId="a6">
    <w:name w:val="Верхний колонтитул Знак"/>
    <w:basedOn w:val="a0"/>
    <w:link w:val="a5"/>
    <w:uiPriority w:val="99"/>
    <w:rsid w:val="0096137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61378"/>
    <w:pPr>
      <w:tabs>
        <w:tab w:val="center" w:pos="4677"/>
        <w:tab w:val="right" w:pos="9355"/>
      </w:tabs>
    </w:pPr>
  </w:style>
  <w:style w:type="character" w:customStyle="1" w:styleId="a8">
    <w:name w:val="Нижний колонтитул Знак"/>
    <w:basedOn w:val="a0"/>
    <w:link w:val="a7"/>
    <w:uiPriority w:val="99"/>
    <w:rsid w:val="00961378"/>
    <w:rPr>
      <w:rFonts w:ascii="Times New Roman" w:eastAsia="Times New Roman" w:hAnsi="Times New Roman" w:cs="Times New Roman"/>
      <w:sz w:val="24"/>
      <w:szCs w:val="24"/>
      <w:lang w:eastAsia="ru-RU"/>
    </w:rPr>
  </w:style>
  <w:style w:type="table" w:styleId="a9">
    <w:name w:val="Table Grid"/>
    <w:basedOn w:val="a1"/>
    <w:uiPriority w:val="59"/>
    <w:rsid w:val="009613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961378"/>
    <w:rPr>
      <w:rFonts w:ascii="Tahoma" w:hAnsi="Tahoma" w:cs="Tahoma"/>
      <w:sz w:val="16"/>
      <w:szCs w:val="16"/>
    </w:rPr>
  </w:style>
  <w:style w:type="character" w:customStyle="1" w:styleId="ab">
    <w:name w:val="Текст выноски Знак"/>
    <w:basedOn w:val="a0"/>
    <w:link w:val="aa"/>
    <w:uiPriority w:val="99"/>
    <w:semiHidden/>
    <w:rsid w:val="0096137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3258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uadmin</cp:lastModifiedBy>
  <cp:revision>6</cp:revision>
  <cp:lastPrinted>2022-06-24T03:13:00Z</cp:lastPrinted>
  <dcterms:created xsi:type="dcterms:W3CDTF">2021-06-30T04:21:00Z</dcterms:created>
  <dcterms:modified xsi:type="dcterms:W3CDTF">2022-06-24T03:14:00Z</dcterms:modified>
</cp:coreProperties>
</file>