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AF" w:rsidRPr="00C16415" w:rsidRDefault="00C318AF" w:rsidP="00C318A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6415">
        <w:rPr>
          <w:rFonts w:ascii="Times New Roman" w:hAnsi="Times New Roman"/>
          <w:b/>
          <w:color w:val="000000"/>
          <w:sz w:val="28"/>
          <w:szCs w:val="28"/>
        </w:rPr>
        <w:t>ЭКСТРАКОРПОРАЛЬН</w:t>
      </w:r>
      <w:r w:rsidR="00E03964">
        <w:rPr>
          <w:rFonts w:ascii="Times New Roman" w:hAnsi="Times New Roman"/>
          <w:b/>
          <w:color w:val="000000"/>
          <w:sz w:val="28"/>
          <w:szCs w:val="28"/>
        </w:rPr>
        <w:t>АЯ ИММУНОФАРМАКОТЕРАПИЯ В КОМПЛЕКСНОМ ЛЕЧЕНИИ БОЛЬНЫХ С ИНТРААБДОМИНАЛЬНОЙ ИНФЕКЦИЕЙ</w:t>
      </w:r>
    </w:p>
    <w:p w:rsidR="00C318AF" w:rsidRDefault="00C318AF" w:rsidP="00C318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Алматинская многопрофильная клиническая больница.</w:t>
      </w:r>
    </w:p>
    <w:p w:rsidR="00C318AF" w:rsidRPr="00235A59" w:rsidRDefault="00C318AF" w:rsidP="00C318AF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С.Б. Рахов</w:t>
      </w:r>
      <w:r w:rsidR="00282A0A">
        <w:rPr>
          <w:rFonts w:ascii="Times New Roman" w:hAnsi="Times New Roman"/>
          <w:color w:val="000000"/>
          <w:sz w:val="28"/>
          <w:szCs w:val="28"/>
        </w:rPr>
        <w:t>, М.У.Муканов</w:t>
      </w:r>
    </w:p>
    <w:p w:rsidR="00C318AF" w:rsidRDefault="00C318AF" w:rsidP="00C318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18AF" w:rsidRPr="00C318AF" w:rsidRDefault="00C318AF" w:rsidP="00C318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Материалом исследования служили собственные наблюдения и изучения истории болезни 422 больных с гнойно-септическими осложнениями острых </w:t>
      </w:r>
      <w:r w:rsidR="00556BA6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C318AF">
        <w:rPr>
          <w:rFonts w:ascii="Times New Roman" w:hAnsi="Times New Roman"/>
          <w:color w:val="000000" w:themeColor="text1"/>
          <w:sz w:val="28"/>
          <w:szCs w:val="28"/>
        </w:rPr>
        <w:t>ирургических заболеваний и травм органов брюшной полости</w:t>
      </w:r>
      <w:r w:rsidR="00556BA6">
        <w:rPr>
          <w:rFonts w:ascii="Times New Roman" w:hAnsi="Times New Roman"/>
          <w:color w:val="000000" w:themeColor="text1"/>
          <w:sz w:val="28"/>
          <w:szCs w:val="28"/>
        </w:rPr>
        <w:t>. Все больные были оперированы.</w:t>
      </w:r>
    </w:p>
    <w:p w:rsidR="00556BA6" w:rsidRDefault="00C318AF" w:rsidP="00556B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556BA6">
        <w:rPr>
          <w:rFonts w:ascii="Times New Roman" w:hAnsi="Times New Roman"/>
          <w:color w:val="000000" w:themeColor="text1"/>
          <w:sz w:val="28"/>
          <w:szCs w:val="24"/>
        </w:rPr>
        <w:tab/>
        <w:t xml:space="preserve">С целью повышения эффективности комплексного лечения больных с интраабдоминальной инфекцией разработан и внедрен </w:t>
      </w:r>
      <w:r w:rsidR="00556BA6" w:rsidRPr="00556BA6">
        <w:rPr>
          <w:rFonts w:ascii="Times New Roman" w:hAnsi="Times New Roman"/>
          <w:color w:val="000000" w:themeColor="text1"/>
          <w:sz w:val="28"/>
          <w:szCs w:val="24"/>
        </w:rPr>
        <w:t>с</w:t>
      </w:r>
      <w:r w:rsidR="00556BA6" w:rsidRPr="00556BA6">
        <w:rPr>
          <w:rFonts w:ascii="Times New Roman" w:hAnsi="Times New Roman"/>
          <w:color w:val="000000" w:themeColor="text1"/>
          <w:sz w:val="28"/>
        </w:rPr>
        <w:t>пособ экстракорпоральной антибактериальной иммуннофармакотерапии, включающий использование аутоклеток крови, для направленного транспорта лекарственных средств, где в качестве транспортного контейнера используется лимфоцитарная масса.</w:t>
      </w:r>
    </w:p>
    <w:p w:rsidR="00282A0A" w:rsidRDefault="00282A0A" w:rsidP="00282A0A">
      <w:pPr>
        <w:pStyle w:val="a3"/>
        <w:spacing w:after="0"/>
        <w:ind w:firstLine="708"/>
        <w:jc w:val="both"/>
        <w:rPr>
          <w:rFonts w:ascii="Times New Roman" w:hAnsi="Times New Roman"/>
          <w:szCs w:val="28"/>
        </w:rPr>
      </w:pPr>
      <w:r w:rsidRPr="00492597">
        <w:rPr>
          <w:rFonts w:ascii="Times New Roman" w:hAnsi="Times New Roman"/>
          <w:szCs w:val="28"/>
        </w:rPr>
        <w:t>Динамика показателей иммунного статуса у больных абдоминальной инфекцией на фоне проводимого комплексного лечения с применением ЭКАТ была положительной. Отмечалось достоверное увеличение абсолютного числа Т-лимфоцитов до 51,17</w:t>
      </w:r>
      <w:r w:rsidRPr="00492597">
        <w:rPr>
          <w:rFonts w:ascii="Times New Roman" w:hAnsi="Times New Roman"/>
          <w:color w:val="000000"/>
          <w:szCs w:val="28"/>
          <w:u w:val="single" w:color="000000"/>
        </w:rPr>
        <w:t>+</w:t>
      </w:r>
      <w:r w:rsidRPr="00492597">
        <w:rPr>
          <w:rFonts w:ascii="Times New Roman" w:hAnsi="Times New Roman"/>
          <w:szCs w:val="28"/>
        </w:rPr>
        <w:t>2,01 х 10</w:t>
      </w:r>
      <w:r w:rsidRPr="00492597">
        <w:rPr>
          <w:rFonts w:ascii="Times New Roman" w:hAnsi="Times New Roman"/>
          <w:szCs w:val="28"/>
          <w:vertAlign w:val="superscript"/>
        </w:rPr>
        <w:t>9</w:t>
      </w:r>
      <w:r w:rsidRPr="00492597">
        <w:rPr>
          <w:rFonts w:ascii="Times New Roman" w:hAnsi="Times New Roman"/>
          <w:szCs w:val="28"/>
        </w:rPr>
        <w:t>/л /р&lt;0,001/. В-лимфоцитов до 17,65</w:t>
      </w:r>
      <w:r w:rsidRPr="00492597">
        <w:rPr>
          <w:rFonts w:ascii="Times New Roman" w:hAnsi="Times New Roman"/>
          <w:szCs w:val="28"/>
          <w:u w:val="words"/>
        </w:rPr>
        <w:t>+</w:t>
      </w:r>
      <w:r w:rsidRPr="00492597">
        <w:rPr>
          <w:rFonts w:ascii="Times New Roman" w:hAnsi="Times New Roman"/>
          <w:szCs w:val="28"/>
        </w:rPr>
        <w:t>1,52 х 10</w:t>
      </w:r>
      <w:r w:rsidRPr="00492597">
        <w:rPr>
          <w:rFonts w:ascii="Times New Roman" w:hAnsi="Times New Roman"/>
          <w:szCs w:val="28"/>
          <w:vertAlign w:val="superscript"/>
        </w:rPr>
        <w:t>9</w:t>
      </w:r>
      <w:r w:rsidRPr="00492597">
        <w:rPr>
          <w:rFonts w:ascii="Times New Roman" w:hAnsi="Times New Roman"/>
          <w:szCs w:val="28"/>
        </w:rPr>
        <w:t>/л. Отмечалось усиление Д-фагоцитоза до 52,48</w:t>
      </w:r>
      <w:r w:rsidRPr="00492597">
        <w:rPr>
          <w:rFonts w:ascii="Times New Roman" w:hAnsi="Times New Roman"/>
          <w:szCs w:val="28"/>
          <w:u w:val="words"/>
        </w:rPr>
        <w:t>+</w:t>
      </w:r>
      <w:r w:rsidRPr="00492597">
        <w:rPr>
          <w:rFonts w:ascii="Times New Roman" w:hAnsi="Times New Roman"/>
          <w:szCs w:val="28"/>
        </w:rPr>
        <w:t>0,05х10</w:t>
      </w:r>
      <w:r w:rsidRPr="00492597">
        <w:rPr>
          <w:rFonts w:ascii="Times New Roman" w:hAnsi="Times New Roman"/>
          <w:szCs w:val="28"/>
          <w:vertAlign w:val="superscript"/>
        </w:rPr>
        <w:t>9</w:t>
      </w:r>
      <w:r w:rsidRPr="00492597">
        <w:rPr>
          <w:rFonts w:ascii="Times New Roman" w:hAnsi="Times New Roman"/>
          <w:szCs w:val="28"/>
        </w:rPr>
        <w:t>/л /р&lt;0,001/. Адгезия по абсолютным показателям не изменялась. Показатели фракций иммуноглобулинов А.М. остались без изменений. Фракция иммуноглобулина J. – здесь отмечалось некоторое повышение уровня до 22,35</w:t>
      </w:r>
      <w:r w:rsidRPr="00492597">
        <w:rPr>
          <w:rFonts w:ascii="Times New Roman" w:hAnsi="Times New Roman"/>
          <w:szCs w:val="28"/>
          <w:u w:val="words"/>
        </w:rPr>
        <w:t>+</w:t>
      </w:r>
      <w:r w:rsidRPr="00492597">
        <w:rPr>
          <w:rFonts w:ascii="Times New Roman" w:hAnsi="Times New Roman"/>
          <w:szCs w:val="28"/>
        </w:rPr>
        <w:t xml:space="preserve"> 1,45. на фоне проводимого лечения показатели его снизились до 21,17</w:t>
      </w:r>
      <w:r w:rsidRPr="00492597">
        <w:rPr>
          <w:rFonts w:ascii="Times New Roman" w:hAnsi="Times New Roman"/>
          <w:szCs w:val="28"/>
          <w:u w:val="words"/>
        </w:rPr>
        <w:t>+</w:t>
      </w:r>
      <w:r w:rsidRPr="00492597">
        <w:rPr>
          <w:rFonts w:ascii="Times New Roman" w:hAnsi="Times New Roman"/>
          <w:szCs w:val="28"/>
        </w:rPr>
        <w:t>1,37, но все же превышали показатели контроля /19,37</w:t>
      </w:r>
      <w:r w:rsidRPr="00492597">
        <w:rPr>
          <w:rFonts w:ascii="Times New Roman" w:hAnsi="Times New Roman"/>
          <w:szCs w:val="28"/>
          <w:u w:val="words"/>
        </w:rPr>
        <w:t>+</w:t>
      </w:r>
      <w:r w:rsidRPr="00492597">
        <w:rPr>
          <w:rFonts w:ascii="Times New Roman" w:hAnsi="Times New Roman"/>
          <w:szCs w:val="28"/>
        </w:rPr>
        <w:t xml:space="preserve"> 0,89/.</w:t>
      </w:r>
    </w:p>
    <w:p w:rsidR="00E03964" w:rsidRDefault="00E03964" w:rsidP="00E03964">
      <w:pPr>
        <w:pStyle w:val="a3"/>
        <w:spacing w:after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Pr="00F401C1">
        <w:rPr>
          <w:rFonts w:ascii="Times New Roman" w:hAnsi="Times New Roman"/>
          <w:szCs w:val="28"/>
        </w:rPr>
        <w:t>иммунологические исследования показали прямую зависимость изменения показателей клеточного иммунитета от степени тяжести воспалительного процесса при абдоминальной инфекции</w:t>
      </w:r>
      <w:r>
        <w:rPr>
          <w:rFonts w:ascii="Times New Roman" w:hAnsi="Times New Roman"/>
          <w:szCs w:val="28"/>
        </w:rPr>
        <w:t>, что вызывает необходимость использования иммунокоррегирующей терапии в комплексном лечении больных с интраабдоминальной инфекцией</w:t>
      </w:r>
      <w:r w:rsidRPr="00F401C1">
        <w:rPr>
          <w:rFonts w:ascii="Times New Roman" w:hAnsi="Times New Roman"/>
          <w:szCs w:val="28"/>
        </w:rPr>
        <w:t>.</w:t>
      </w:r>
    </w:p>
    <w:p w:rsidR="00282A0A" w:rsidRPr="00F401C1" w:rsidRDefault="00282A0A" w:rsidP="00282A0A">
      <w:pPr>
        <w:pStyle w:val="a3"/>
        <w:spacing w:after="0"/>
        <w:ind w:firstLine="708"/>
        <w:jc w:val="both"/>
        <w:rPr>
          <w:rFonts w:ascii="Times New Roman" w:hAnsi="Times New Roman"/>
          <w:szCs w:val="28"/>
        </w:rPr>
      </w:pPr>
      <w:r w:rsidRPr="00F401C1">
        <w:rPr>
          <w:rFonts w:ascii="Times New Roman" w:hAnsi="Times New Roman"/>
          <w:szCs w:val="28"/>
        </w:rPr>
        <w:t>Положительный эффект от ЭА</w:t>
      </w:r>
      <w:r>
        <w:rPr>
          <w:rFonts w:ascii="Times New Roman" w:hAnsi="Times New Roman"/>
          <w:szCs w:val="28"/>
        </w:rPr>
        <w:t>ИФ</w:t>
      </w:r>
      <w:r w:rsidRPr="00F401C1">
        <w:rPr>
          <w:rFonts w:ascii="Times New Roman" w:hAnsi="Times New Roman"/>
          <w:szCs w:val="28"/>
        </w:rPr>
        <w:t>Т на фоне комплексного лечения объясняется тем, что применение ЭА</w:t>
      </w:r>
      <w:r>
        <w:rPr>
          <w:rFonts w:ascii="Times New Roman" w:hAnsi="Times New Roman"/>
          <w:szCs w:val="28"/>
        </w:rPr>
        <w:t>ИФ</w:t>
      </w:r>
      <w:r w:rsidRPr="00F401C1">
        <w:rPr>
          <w:rFonts w:ascii="Times New Roman" w:hAnsi="Times New Roman"/>
          <w:szCs w:val="28"/>
        </w:rPr>
        <w:t>Т приводи</w:t>
      </w:r>
      <w:r>
        <w:rPr>
          <w:rFonts w:ascii="Times New Roman" w:hAnsi="Times New Roman"/>
          <w:szCs w:val="28"/>
        </w:rPr>
        <w:t>ло</w:t>
      </w:r>
      <w:r w:rsidRPr="00F401C1">
        <w:rPr>
          <w:rFonts w:ascii="Times New Roman" w:hAnsi="Times New Roman"/>
          <w:szCs w:val="28"/>
        </w:rPr>
        <w:t xml:space="preserve"> к увеличению концентрации антибиотиков непосредственно в очаге воспаления, то есть в брюшной полости.</w:t>
      </w:r>
    </w:p>
    <w:p w:rsidR="00115198" w:rsidRDefault="00115198"/>
    <w:sectPr w:rsidR="00115198" w:rsidSect="006B2D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4E" w:rsidRDefault="00586E4E" w:rsidP="004F3487">
      <w:pPr>
        <w:spacing w:after="0" w:line="240" w:lineRule="auto"/>
      </w:pPr>
      <w:r>
        <w:separator/>
      </w:r>
    </w:p>
  </w:endnote>
  <w:endnote w:type="continuationSeparator" w:id="1">
    <w:p w:rsidR="00586E4E" w:rsidRDefault="00586E4E" w:rsidP="004F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46" w:rsidRDefault="004F3487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4.95pt;height:11.45pt;z-index:251661312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6B2D46" w:rsidRPr="0024798B" w:rsidRDefault="00586E4E" w:rsidP="006B2D46"/>
            </w:txbxContent>
          </v:textbox>
          <w10:wrap type="square" side="largest" anchorx="margin"/>
        </v:shape>
      </w:pict>
    </w:r>
    <w:r>
      <w:pict>
        <v:shape id="_x0000_s1027" type="#_x0000_t202" style="position:absolute;margin-left:225.4pt;margin-top:.1pt;width:18.9pt;height:11.4pt;z-index:251662336;mso-wrap-distance-left:0;mso-wrap-distance-right:0;mso-position-horizontal-relative:margin" stroked="f">
          <v:fill opacity="0" color2="black"/>
          <v:textbox style="mso-next-textbox:#_x0000_s1027" inset="0,0,0,0">
            <w:txbxContent>
              <w:p w:rsidR="006B2D46" w:rsidRDefault="00586E4E">
                <w:pPr>
                  <w:rPr>
                    <w:sz w:val="28"/>
                    <w:szCs w:val="28"/>
                  </w:rPr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4E" w:rsidRDefault="00586E4E" w:rsidP="004F3487">
      <w:pPr>
        <w:spacing w:after="0" w:line="240" w:lineRule="auto"/>
      </w:pPr>
      <w:r>
        <w:separator/>
      </w:r>
    </w:p>
  </w:footnote>
  <w:footnote w:type="continuationSeparator" w:id="1">
    <w:p w:rsidR="00586E4E" w:rsidRDefault="00586E4E" w:rsidP="004F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318AF"/>
    <w:rsid w:val="00115198"/>
    <w:rsid w:val="00282A0A"/>
    <w:rsid w:val="00290ACD"/>
    <w:rsid w:val="004F3487"/>
    <w:rsid w:val="00556BA6"/>
    <w:rsid w:val="00586E4E"/>
    <w:rsid w:val="006E5689"/>
    <w:rsid w:val="00C318AF"/>
    <w:rsid w:val="00E0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6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18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318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8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318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318AF"/>
    <w:pPr>
      <w:spacing w:after="120" w:line="240" w:lineRule="auto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18AF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31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18AF"/>
    <w:rPr>
      <w:rFonts w:ascii="Calibri" w:eastAsia="Calibri" w:hAnsi="Calibri" w:cs="Times New Roman"/>
    </w:rPr>
  </w:style>
  <w:style w:type="character" w:styleId="a7">
    <w:name w:val="page number"/>
    <w:basedOn w:val="a0"/>
    <w:rsid w:val="00C318AF"/>
  </w:style>
  <w:style w:type="paragraph" w:styleId="a8">
    <w:name w:val="Normal (Web)"/>
    <w:basedOn w:val="a"/>
    <w:unhideWhenUsed/>
    <w:rsid w:val="00C31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1726</Characters>
  <Application>Microsoft Office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2011-06-03T03:14:00Z</dcterms:created>
  <dcterms:modified xsi:type="dcterms:W3CDTF">2011-06-03T03:57:00Z</dcterms:modified>
</cp:coreProperties>
</file>