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66F" w:rsidRPr="00AC2ABF" w:rsidRDefault="0015066F" w:rsidP="0015066F">
      <w:pPr>
        <w:spacing w:after="0" w:line="240" w:lineRule="auto"/>
        <w:rPr>
          <w:rFonts w:eastAsia="MS Mincho"/>
          <w:b/>
        </w:rPr>
      </w:pPr>
      <w:r w:rsidRPr="00AC2ABF">
        <w:rPr>
          <w:rFonts w:eastAsia="MS Mincho"/>
          <w:b/>
          <w:lang w:val="kk-KZ"/>
        </w:rPr>
        <w:t xml:space="preserve">9. 3 </w:t>
      </w:r>
      <w:r w:rsidRPr="00AC2ABF">
        <w:rPr>
          <w:rFonts w:eastAsia="MS Mincho"/>
          <w:b/>
        </w:rPr>
        <w:t xml:space="preserve"> «О внесении дополнений в положение о международном сотрудничестве</w:t>
      </w:r>
      <w:r w:rsidRPr="00AC2ABF">
        <w:rPr>
          <w:b/>
        </w:rPr>
        <w:t xml:space="preserve"> РГП</w:t>
      </w:r>
      <w:r w:rsidRPr="00AC2ABF">
        <w:rPr>
          <w:rFonts w:eastAsia="MS Mincho"/>
          <w:b/>
        </w:rPr>
        <w:t xml:space="preserve"> «КазНМУ им. С.Д. Асфендиярова»</w:t>
      </w:r>
    </w:p>
    <w:p w:rsidR="0015066F" w:rsidRPr="00AC2ABF" w:rsidRDefault="0015066F" w:rsidP="0015066F">
      <w:pPr>
        <w:spacing w:after="0" w:line="240" w:lineRule="auto"/>
        <w:ind w:firstLine="0"/>
        <w:rPr>
          <w:rFonts w:eastAsia="MS Mincho"/>
          <w:b/>
          <w:lang w:val="kk-KZ"/>
        </w:rPr>
      </w:pPr>
      <w:r w:rsidRPr="00AC2ABF">
        <w:rPr>
          <w:rFonts w:eastAsia="MS Mincho"/>
          <w:b/>
          <w:lang w:val="kk-KZ"/>
        </w:rPr>
        <w:t xml:space="preserve">Докладчик: Тулебаев К.А. проректор по УВР </w:t>
      </w:r>
    </w:p>
    <w:p w:rsidR="0015066F" w:rsidRDefault="0015066F" w:rsidP="0015066F">
      <w:pPr>
        <w:spacing w:after="0" w:line="240" w:lineRule="auto"/>
        <w:rPr>
          <w:lang w:val="kk-KZ"/>
        </w:rPr>
      </w:pPr>
      <w:r w:rsidRPr="000F421D">
        <w:t xml:space="preserve">                                 </w:t>
      </w:r>
    </w:p>
    <w:p w:rsidR="0015066F" w:rsidRPr="00AC2ABF" w:rsidRDefault="0015066F" w:rsidP="0015066F">
      <w:pPr>
        <w:spacing w:after="0" w:line="240" w:lineRule="auto"/>
        <w:jc w:val="right"/>
        <w:rPr>
          <w:rFonts w:eastAsia="MS Mincho"/>
          <w:b/>
          <w:bCs/>
        </w:rPr>
      </w:pPr>
      <w:r w:rsidRPr="00AC2ABF">
        <w:rPr>
          <w:b/>
        </w:rPr>
        <w:t xml:space="preserve">   </w:t>
      </w:r>
      <w:r w:rsidRPr="00AC2ABF">
        <w:rPr>
          <w:rFonts w:eastAsia="MS Mincho"/>
          <w:b/>
          <w:bCs/>
        </w:rPr>
        <w:t>ПРОЕКТ</w:t>
      </w:r>
    </w:p>
    <w:p w:rsidR="0015066F" w:rsidRPr="000F421D" w:rsidRDefault="0015066F" w:rsidP="0015066F">
      <w:pPr>
        <w:spacing w:after="0" w:line="240" w:lineRule="auto"/>
        <w:rPr>
          <w:rFonts w:eastAsia="MS Mincho"/>
        </w:rPr>
      </w:pPr>
      <w:r w:rsidRPr="000F421D">
        <w:rPr>
          <w:rFonts w:eastAsia="MS Mincho"/>
        </w:rPr>
        <w:t xml:space="preserve">В  предыдущие годы было разработано положение о международном сотрудничестве, регламентирующее порядок приглашения зарубежных специалистов для работы в Университете, связанной с осуществлением педагогической, клинической и научно-исследовательской деятельности, но, с учетом усиливающихся требований к образовательному процессу,  необходимости реализации одного из основных  принципов Болонского процесса – интернационализации образования, в целях повышения результативности приглашения визитинг-профессоров предлагается  внести в  действующее положение следующие  дополнения. </w:t>
      </w:r>
    </w:p>
    <w:p w:rsidR="0015066F" w:rsidRPr="000F421D" w:rsidRDefault="0015066F" w:rsidP="0015066F">
      <w:pPr>
        <w:pStyle w:val="a3"/>
        <w:spacing w:after="0" w:line="240" w:lineRule="auto"/>
        <w:rPr>
          <w:rFonts w:eastAsia="MS Mincho"/>
        </w:rPr>
      </w:pPr>
      <w:r w:rsidRPr="000F421D">
        <w:rPr>
          <w:rFonts w:eastAsia="MS Mincho"/>
        </w:rPr>
        <w:t>Критерии  для приглашения иностранного специалиста в КазНМУ</w:t>
      </w:r>
    </w:p>
    <w:p w:rsidR="0015066F" w:rsidRPr="000F421D" w:rsidRDefault="0015066F" w:rsidP="0015066F">
      <w:pPr>
        <w:pStyle w:val="a3"/>
        <w:spacing w:after="0" w:line="240" w:lineRule="auto"/>
      </w:pPr>
      <w:r w:rsidRPr="000F421D">
        <w:t>Соответствие направления деятельности приглашенного специалиста образовательным, научным и клиническим приоритетам КазНМУ и приглашающего его структурного подразделения.</w:t>
      </w:r>
    </w:p>
    <w:p w:rsidR="0015066F" w:rsidRPr="000F421D" w:rsidRDefault="0015066F" w:rsidP="0015066F">
      <w:pPr>
        <w:pStyle w:val="a3"/>
        <w:spacing w:after="0" w:line="240" w:lineRule="auto"/>
      </w:pPr>
      <w:r w:rsidRPr="000F421D">
        <w:t>Эффективность результатов прошлых визитов. Оценка эффективности производится  Комиссией, на основании отчетов и другой информации.</w:t>
      </w:r>
    </w:p>
    <w:p w:rsidR="0015066F" w:rsidRPr="000F421D" w:rsidRDefault="0015066F" w:rsidP="0015066F">
      <w:pPr>
        <w:pStyle w:val="a3"/>
        <w:spacing w:after="0" w:line="240" w:lineRule="auto"/>
      </w:pPr>
      <w:r w:rsidRPr="000F421D">
        <w:t>Участие иностранного специалиста в повышении квалификации работников  КазНМУ за рубежом в рамках реализации программы развития КазНМУ;</w:t>
      </w:r>
    </w:p>
    <w:p w:rsidR="0015066F" w:rsidRPr="000F421D" w:rsidRDefault="0015066F" w:rsidP="0015066F">
      <w:pPr>
        <w:pStyle w:val="a3"/>
        <w:spacing w:after="0" w:line="240" w:lineRule="auto"/>
      </w:pPr>
      <w:r w:rsidRPr="000F421D">
        <w:t>Приоритет отдается представителям университетов-партнеров КазНМУ, а также представителям ТОР университетов;</w:t>
      </w:r>
    </w:p>
    <w:p w:rsidR="0015066F" w:rsidRPr="000F421D" w:rsidRDefault="0015066F" w:rsidP="0015066F">
      <w:pPr>
        <w:pStyle w:val="a3"/>
        <w:spacing w:after="0" w:line="240" w:lineRule="auto"/>
      </w:pPr>
      <w:r w:rsidRPr="000F421D">
        <w:t>Продолжительность визита приглашенного профессора (сроком не менее 7-8 недель для не менее 10% приглашенных специалистов из дальнего зарубежья).</w:t>
      </w:r>
    </w:p>
    <w:p w:rsidR="0015066F" w:rsidRPr="000F421D" w:rsidRDefault="0015066F" w:rsidP="0015066F">
      <w:pPr>
        <w:pStyle w:val="a3"/>
        <w:spacing w:after="0" w:line="240" w:lineRule="auto"/>
      </w:pPr>
      <w:r w:rsidRPr="000F421D">
        <w:t>Требования к программе визита иностранного специалиста</w:t>
      </w:r>
    </w:p>
    <w:p w:rsidR="0015066F" w:rsidRPr="000F421D" w:rsidRDefault="0015066F" w:rsidP="0015066F">
      <w:pPr>
        <w:pStyle w:val="a3"/>
        <w:spacing w:after="0" w:line="240" w:lineRule="auto"/>
      </w:pPr>
      <w:r w:rsidRPr="000F421D">
        <w:t xml:space="preserve">Обучающая программа иностранного специалиста должна соответствовать (и по возможности дополнять) программе  приглашающего его структурного подразделения </w:t>
      </w:r>
    </w:p>
    <w:p w:rsidR="0015066F" w:rsidRPr="000F421D" w:rsidRDefault="0015066F" w:rsidP="0015066F">
      <w:pPr>
        <w:pStyle w:val="a3"/>
        <w:spacing w:after="0" w:line="240" w:lineRule="auto"/>
      </w:pPr>
      <w:r w:rsidRPr="000F421D">
        <w:t>Программа визита должна предполагать практическое применение:</w:t>
      </w:r>
    </w:p>
    <w:p w:rsidR="0015066F" w:rsidRPr="000F421D" w:rsidRDefault="0015066F" w:rsidP="0015066F">
      <w:pPr>
        <w:pStyle w:val="a3"/>
        <w:spacing w:after="0" w:line="240" w:lineRule="auto"/>
      </w:pPr>
      <w:r w:rsidRPr="000F421D">
        <w:t>Внедрение инновационных педагогических методик в учебный процесс с подтверждающими документами;</w:t>
      </w:r>
    </w:p>
    <w:p w:rsidR="0015066F" w:rsidRPr="000F421D" w:rsidRDefault="0015066F" w:rsidP="0015066F">
      <w:pPr>
        <w:pStyle w:val="a3"/>
        <w:spacing w:after="0" w:line="240" w:lineRule="auto"/>
      </w:pPr>
      <w:r w:rsidRPr="000F421D">
        <w:t>Внедрение принципов доказательной медицины в учебный и научный процесс;</w:t>
      </w:r>
    </w:p>
    <w:p w:rsidR="0015066F" w:rsidRPr="000F421D" w:rsidRDefault="0015066F" w:rsidP="0015066F">
      <w:pPr>
        <w:pStyle w:val="a3"/>
        <w:spacing w:after="0" w:line="240" w:lineRule="auto"/>
      </w:pPr>
      <w:r w:rsidRPr="000F421D">
        <w:t>Совместная публикация в реферируемых журналах за рубежом;</w:t>
      </w:r>
    </w:p>
    <w:p w:rsidR="0015066F" w:rsidRPr="000F421D" w:rsidRDefault="0015066F" w:rsidP="0015066F">
      <w:pPr>
        <w:pStyle w:val="a3"/>
        <w:spacing w:after="0" w:line="240" w:lineRule="auto"/>
      </w:pPr>
      <w:r w:rsidRPr="000F421D">
        <w:lastRenderedPageBreak/>
        <w:t>Научное руководство магистрантами, докторантами;</w:t>
      </w:r>
    </w:p>
    <w:p w:rsidR="0015066F" w:rsidRPr="000F421D" w:rsidRDefault="0015066F" w:rsidP="0015066F">
      <w:pPr>
        <w:pStyle w:val="a3"/>
        <w:spacing w:after="0" w:line="240" w:lineRule="auto"/>
      </w:pPr>
      <w:r w:rsidRPr="000F421D">
        <w:t>Экспертное заключение по образовательной программе, методике,  научно-исследовательскому проекту и др.;</w:t>
      </w:r>
    </w:p>
    <w:p w:rsidR="0015066F" w:rsidRPr="000F421D" w:rsidRDefault="0015066F" w:rsidP="0015066F">
      <w:pPr>
        <w:pStyle w:val="a3"/>
        <w:spacing w:after="0" w:line="240" w:lineRule="auto"/>
      </w:pPr>
      <w:r w:rsidRPr="000F421D">
        <w:t>Совместный образовательный проект, программы;</w:t>
      </w:r>
    </w:p>
    <w:p w:rsidR="0015066F" w:rsidRPr="000F421D" w:rsidRDefault="0015066F" w:rsidP="0015066F">
      <w:pPr>
        <w:pStyle w:val="a3"/>
        <w:spacing w:after="0" w:line="240" w:lineRule="auto"/>
      </w:pPr>
      <w:r w:rsidRPr="000F421D">
        <w:t xml:space="preserve">Договор о сотрудничестве в области развития образования, науки и клиники; </w:t>
      </w:r>
    </w:p>
    <w:p w:rsidR="0015066F" w:rsidRPr="000F421D" w:rsidRDefault="0015066F" w:rsidP="0015066F">
      <w:pPr>
        <w:pStyle w:val="a3"/>
        <w:spacing w:after="0" w:line="240" w:lineRule="auto"/>
      </w:pPr>
      <w:r w:rsidRPr="000F421D">
        <w:t>Независимая оценка знаний и навыков обучающихся.</w:t>
      </w:r>
    </w:p>
    <w:p w:rsidR="0015066F" w:rsidRPr="000F421D" w:rsidRDefault="0015066F" w:rsidP="0015066F">
      <w:pPr>
        <w:pStyle w:val="a3"/>
        <w:spacing w:after="0" w:line="240" w:lineRule="auto"/>
      </w:pPr>
      <w:r w:rsidRPr="000F421D">
        <w:t>Обучающая программа иностранного специалиста должна быть обеспечена учебным и учебно-методическим материалом, который должен быть сдан в библиотеку приглашающего его структурного подразделения</w:t>
      </w:r>
    </w:p>
    <w:p w:rsidR="0015066F" w:rsidRPr="000F421D" w:rsidRDefault="0015066F" w:rsidP="0015066F">
      <w:pPr>
        <w:pStyle w:val="a3"/>
        <w:spacing w:after="0" w:line="240" w:lineRule="auto"/>
      </w:pPr>
      <w:r w:rsidRPr="000F421D">
        <w:t>Дополнительным преимуществом обучающей программы является  актуальность тематики программы, высокая степень новизны информации, а также эксклюзивность материала</w:t>
      </w:r>
    </w:p>
    <w:p w:rsidR="0015066F" w:rsidRPr="000F421D" w:rsidRDefault="0015066F" w:rsidP="0015066F">
      <w:pPr>
        <w:spacing w:after="0" w:line="240" w:lineRule="auto"/>
      </w:pPr>
      <w:r w:rsidRPr="000F421D">
        <w:t>Условия осуществления визитинга в КазНМУ</w:t>
      </w:r>
    </w:p>
    <w:p w:rsidR="0015066F" w:rsidRPr="000F421D" w:rsidRDefault="0015066F" w:rsidP="0015066F">
      <w:pPr>
        <w:pStyle w:val="a3"/>
        <w:spacing w:after="0" w:line="240" w:lineRule="auto"/>
      </w:pPr>
      <w:r w:rsidRPr="000F421D">
        <w:t>Структурное подразделение, принимающее иностранного специалиста, обеспечивает информационное сопровождение пребывания в целях максимально полного использования всех мероприятий с его участием для развития КазНМУ.</w:t>
      </w:r>
    </w:p>
    <w:p w:rsidR="0015066F" w:rsidRPr="000F421D" w:rsidRDefault="0015066F" w:rsidP="0015066F">
      <w:pPr>
        <w:pStyle w:val="a3"/>
        <w:spacing w:after="0" w:line="240" w:lineRule="auto"/>
      </w:pPr>
      <w:r w:rsidRPr="000F421D">
        <w:t xml:space="preserve">К концу пребывания приглашенного профессора в КазНМУ, до отъезда, принимающее подразделение совместно с приглашенным профессором представляет содержательный отчет по всем пунктам программы визита профессора в КазНМУ с подтверждающими документами. </w:t>
      </w:r>
      <w:bookmarkStart w:id="0" w:name="_GoBack"/>
      <w:r w:rsidRPr="000F421D">
        <w:t xml:space="preserve">Данный отчет входит в  </w:t>
      </w:r>
      <w:bookmarkEnd w:id="0"/>
      <w:r w:rsidRPr="000F421D">
        <w:t xml:space="preserve">Перечень документов, предоставляемых для выплаты гонорара. </w:t>
      </w:r>
    </w:p>
    <w:p w:rsidR="0015066F" w:rsidRPr="000F421D" w:rsidRDefault="0015066F" w:rsidP="0015066F">
      <w:pPr>
        <w:pStyle w:val="a3"/>
        <w:spacing w:after="0" w:line="240" w:lineRule="auto"/>
      </w:pPr>
      <w:r w:rsidRPr="000F421D">
        <w:t xml:space="preserve">Ответственность за результативность визита приглашенного профессора несет принимающее его структурное подразделение, а контроль возлагается на директоров учебных департаментов (мониторинг и оценка). </w:t>
      </w:r>
    </w:p>
    <w:p w:rsidR="0015066F" w:rsidRPr="000F421D" w:rsidRDefault="0015066F" w:rsidP="0015066F">
      <w:pPr>
        <w:spacing w:after="0" w:line="240" w:lineRule="auto"/>
        <w:rPr>
          <w:highlight w:val="yellow"/>
          <w:lang w:val="kk-KZ"/>
        </w:rPr>
      </w:pPr>
    </w:p>
    <w:p w:rsidR="0015066F" w:rsidRPr="00AC2ABF" w:rsidRDefault="0015066F" w:rsidP="0015066F">
      <w:pPr>
        <w:spacing w:after="0" w:line="240" w:lineRule="auto"/>
        <w:rPr>
          <w:b/>
        </w:rPr>
      </w:pPr>
      <w:r w:rsidRPr="00AC2ABF">
        <w:rPr>
          <w:b/>
          <w:lang w:val="kk-KZ"/>
        </w:rPr>
        <w:t xml:space="preserve">Проект решения: </w:t>
      </w:r>
    </w:p>
    <w:p w:rsidR="0015066F" w:rsidRPr="000F421D" w:rsidRDefault="0015066F" w:rsidP="0015066F">
      <w:pPr>
        <w:pStyle w:val="a3"/>
        <w:spacing w:after="0" w:line="240" w:lineRule="auto"/>
        <w:rPr>
          <w:rFonts w:eastAsia="MS Mincho"/>
        </w:rPr>
      </w:pPr>
      <w:r w:rsidRPr="000F421D">
        <w:rPr>
          <w:rFonts w:eastAsia="MS Mincho"/>
        </w:rPr>
        <w:t xml:space="preserve">Внести в раздел «Виды и нормы расходов Университета на приглашение зарубежных специалистов» пункт о стимулирующих надбавках для приглашенных профессоров за особый вклад в развитие КазНМУ. </w:t>
      </w:r>
    </w:p>
    <w:p w:rsidR="0015066F" w:rsidRPr="000F421D" w:rsidRDefault="0015066F" w:rsidP="0015066F">
      <w:pPr>
        <w:pStyle w:val="a3"/>
        <w:spacing w:after="0" w:line="240" w:lineRule="auto"/>
        <w:rPr>
          <w:rFonts w:eastAsia="MS Mincho"/>
        </w:rPr>
      </w:pPr>
      <w:r w:rsidRPr="000F421D">
        <w:rPr>
          <w:rFonts w:eastAsia="MS Mincho"/>
          <w:lang w:val="kk-KZ"/>
        </w:rPr>
        <w:t>Ответственный: проректор по экономическим вопросам П.Д.Айнабекова</w:t>
      </w:r>
    </w:p>
    <w:p w:rsidR="0015066F" w:rsidRPr="000F421D" w:rsidRDefault="0015066F" w:rsidP="0015066F">
      <w:pPr>
        <w:pStyle w:val="a3"/>
        <w:spacing w:after="0" w:line="240" w:lineRule="auto"/>
      </w:pPr>
      <w:r w:rsidRPr="000F421D">
        <w:rPr>
          <w:rFonts w:eastAsia="MS Mincho"/>
        </w:rPr>
        <w:t xml:space="preserve">Разработать форму отчета </w:t>
      </w:r>
      <w:r w:rsidRPr="000F421D">
        <w:t>программы визита профессора в КазНМУ, с учетом показателей результативности, рекомендованных  МОН РК.</w:t>
      </w:r>
    </w:p>
    <w:p w:rsidR="0015066F" w:rsidRPr="000F421D" w:rsidRDefault="0015066F" w:rsidP="0015066F">
      <w:pPr>
        <w:pStyle w:val="a3"/>
        <w:spacing w:after="0" w:line="240" w:lineRule="auto"/>
      </w:pPr>
      <w:r w:rsidRPr="000F421D">
        <w:rPr>
          <w:lang w:val="kk-KZ"/>
        </w:rPr>
        <w:lastRenderedPageBreak/>
        <w:t xml:space="preserve">Ответственные: виртуальный институт Болонского процесса, директора учебных департаментов. </w:t>
      </w:r>
    </w:p>
    <w:p w:rsidR="0015066F" w:rsidRPr="000F421D" w:rsidRDefault="0015066F" w:rsidP="0015066F">
      <w:pPr>
        <w:pStyle w:val="a3"/>
        <w:spacing w:after="0" w:line="240" w:lineRule="auto"/>
      </w:pPr>
      <w:r w:rsidRPr="000F421D">
        <w:t>Форму договора с приглашенным профессором дополнить информацией об отсутствии представительских и всех прочих расходов, кроме гонорара, перелета и проживания. Указать, что перелет осуществляется эконом-классом, гостиница – «эконом –</w:t>
      </w:r>
      <w:r w:rsidRPr="000F421D">
        <w:rPr>
          <w:lang w:val="kk-KZ"/>
        </w:rPr>
        <w:t xml:space="preserve"> </w:t>
      </w:r>
      <w:r w:rsidRPr="000F421D">
        <w:t>класс» или «стандарт».</w:t>
      </w:r>
    </w:p>
    <w:p w:rsidR="0015066F" w:rsidRPr="000F421D" w:rsidRDefault="0015066F" w:rsidP="0015066F">
      <w:pPr>
        <w:pStyle w:val="a3"/>
        <w:spacing w:after="0" w:line="240" w:lineRule="auto"/>
      </w:pPr>
      <w:r w:rsidRPr="000F421D">
        <w:rPr>
          <w:lang w:val="kk-KZ"/>
        </w:rPr>
        <w:t xml:space="preserve">Ответственные: </w:t>
      </w:r>
      <w:r w:rsidRPr="000F421D">
        <w:rPr>
          <w:rFonts w:eastAsia="MS Mincho"/>
          <w:lang w:val="kk-KZ"/>
        </w:rPr>
        <w:t xml:space="preserve">проректор по экономическим вопросам П.Д.Айнабекова, юридический отдел </w:t>
      </w:r>
    </w:p>
    <w:p w:rsidR="00066118" w:rsidRDefault="00066118"/>
    <w:sectPr w:rsidR="00066118" w:rsidSect="00066118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3522" w:rsidRDefault="00E83522" w:rsidP="0015066F">
      <w:pPr>
        <w:spacing w:after="0" w:line="240" w:lineRule="auto"/>
      </w:pPr>
      <w:r>
        <w:separator/>
      </w:r>
    </w:p>
  </w:endnote>
  <w:endnote w:type="continuationSeparator" w:id="1">
    <w:p w:rsidR="00E83522" w:rsidRDefault="00E83522" w:rsidP="00150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3522" w:rsidRDefault="00E83522" w:rsidP="0015066F">
      <w:pPr>
        <w:spacing w:after="0" w:line="240" w:lineRule="auto"/>
      </w:pPr>
      <w:r>
        <w:separator/>
      </w:r>
    </w:p>
  </w:footnote>
  <w:footnote w:type="continuationSeparator" w:id="1">
    <w:p w:rsidR="00E83522" w:rsidRDefault="00E83522" w:rsidP="001506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06" w:type="dxa"/>
      <w:tblInd w:w="-497" w:type="dxa"/>
      <w:tblBorders>
        <w:bottom w:val="thinThickSmallGap" w:sz="18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4233"/>
      <w:gridCol w:w="1493"/>
      <w:gridCol w:w="4480"/>
    </w:tblGrid>
    <w:tr w:rsidR="0015066F" w:rsidRPr="0044283E" w:rsidTr="0015066F">
      <w:trPr>
        <w:cantSplit/>
        <w:trHeight w:val="767"/>
      </w:trPr>
      <w:tc>
        <w:tcPr>
          <w:tcW w:w="4233" w:type="dxa"/>
          <w:vAlign w:val="center"/>
        </w:tcPr>
        <w:p w:rsidR="0015066F" w:rsidRPr="0044283E" w:rsidRDefault="0015066F" w:rsidP="005263D4">
          <w:pPr>
            <w:spacing w:after="0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44283E">
            <w:rPr>
              <w:rFonts w:ascii="Tahoma" w:hAnsi="Tahoma" w:cs="Tahoma"/>
              <w:b/>
              <w:sz w:val="17"/>
              <w:szCs w:val="17"/>
              <w:lang w:val="kk-KZ"/>
            </w:rPr>
            <w:t>С.Ж.АСФЕНДИЯРОВ АТЫНДАҒЫ</w:t>
          </w:r>
        </w:p>
        <w:p w:rsidR="0015066F" w:rsidRPr="0044283E" w:rsidRDefault="0015066F" w:rsidP="005263D4">
          <w:pPr>
            <w:spacing w:after="0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44283E"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ҚАЗАҚ ҰЛТТЫҚ МЕДИЦИНА УНИВЕРСИТЕТІ </w:t>
          </w:r>
        </w:p>
      </w:tc>
      <w:tc>
        <w:tcPr>
          <w:tcW w:w="1493" w:type="dxa"/>
          <w:vAlign w:val="center"/>
        </w:tcPr>
        <w:p w:rsidR="0015066F" w:rsidRPr="0044283E" w:rsidRDefault="0015066F" w:rsidP="005263D4">
          <w:pPr>
            <w:spacing w:after="0"/>
            <w:jc w:val="center"/>
            <w:rPr>
              <w:rFonts w:ascii="Tahoma" w:hAnsi="Tahoma" w:cs="Tahoma"/>
              <w:sz w:val="17"/>
              <w:szCs w:val="17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207010</wp:posOffset>
                </wp:positionH>
                <wp:positionV relativeFrom="paragraph">
                  <wp:posOffset>15875</wp:posOffset>
                </wp:positionV>
                <wp:extent cx="476250" cy="419100"/>
                <wp:effectExtent l="19050" t="0" r="0" b="0"/>
                <wp:wrapNone/>
                <wp:docPr id="1" name="Рисунок 20" descr="logo_f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0" descr="logo_f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057" r="5675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480" w:type="dxa"/>
          <w:vAlign w:val="center"/>
        </w:tcPr>
        <w:p w:rsidR="0015066F" w:rsidRPr="0044283E" w:rsidRDefault="0015066F" w:rsidP="005263D4">
          <w:pPr>
            <w:spacing w:after="0"/>
            <w:jc w:val="center"/>
            <w:rPr>
              <w:rFonts w:ascii="Tahoma" w:hAnsi="Tahoma" w:cs="Tahoma"/>
              <w:b/>
              <w:sz w:val="17"/>
              <w:szCs w:val="17"/>
            </w:rPr>
          </w:pPr>
          <w:r w:rsidRPr="0044283E">
            <w:rPr>
              <w:rFonts w:ascii="Tahoma" w:hAnsi="Tahoma" w:cs="Tahoma"/>
              <w:b/>
              <w:sz w:val="17"/>
              <w:szCs w:val="17"/>
            </w:rPr>
            <w:t>КАЗАХСКИЙ НАЦИОНАЛЬНЫЙ МЕДИЦИНСКИЙ  УНИВЕРСИТЕТ ИМЕНИ  С.Д.АСФЕНДИЯРОВА</w:t>
          </w:r>
        </w:p>
      </w:tc>
    </w:tr>
    <w:tr w:rsidR="0015066F" w:rsidRPr="0044283E" w:rsidTr="0015066F">
      <w:trPr>
        <w:cantSplit/>
        <w:trHeight w:val="580"/>
      </w:trPr>
      <w:tc>
        <w:tcPr>
          <w:tcW w:w="10206" w:type="dxa"/>
          <w:gridSpan w:val="3"/>
          <w:tcBorders>
            <w:bottom w:val="thinThickSmallGap" w:sz="18" w:space="0" w:color="auto"/>
          </w:tcBorders>
          <w:vAlign w:val="center"/>
        </w:tcPr>
        <w:p w:rsidR="0015066F" w:rsidRPr="0044283E" w:rsidRDefault="0015066F" w:rsidP="005263D4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44283E">
            <w:rPr>
              <w:rFonts w:ascii="Tahoma" w:hAnsi="Tahoma" w:cs="Tahoma"/>
              <w:b/>
              <w:sz w:val="17"/>
              <w:szCs w:val="17"/>
              <w:lang w:val="kk-KZ"/>
            </w:rPr>
            <w:t>ҒЫЛЫМИ КЕҢЕС</w:t>
          </w:r>
        </w:p>
        <w:p w:rsidR="0015066F" w:rsidRPr="0044283E" w:rsidRDefault="0015066F" w:rsidP="005263D4">
          <w:pPr>
            <w:spacing w:after="0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44283E"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№ </w:t>
          </w:r>
          <w:r>
            <w:rPr>
              <w:rFonts w:ascii="Tahoma" w:hAnsi="Tahoma" w:cs="Tahoma"/>
              <w:b/>
              <w:sz w:val="17"/>
              <w:szCs w:val="17"/>
              <w:lang w:val="kk-KZ"/>
            </w:rPr>
            <w:t>5</w:t>
          </w:r>
          <w:r w:rsidRPr="0044283E"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 МӘЖІЛІС</w:t>
          </w:r>
        </w:p>
      </w:tc>
    </w:tr>
  </w:tbl>
  <w:p w:rsidR="0015066F" w:rsidRDefault="0015066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066F"/>
    <w:rsid w:val="00066118"/>
    <w:rsid w:val="0015066F"/>
    <w:rsid w:val="007907EA"/>
    <w:rsid w:val="00A011AF"/>
    <w:rsid w:val="00D239E7"/>
    <w:rsid w:val="00E83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66F"/>
    <w:pPr>
      <w:ind w:firstLine="708"/>
      <w:contextualSpacing/>
    </w:pPr>
    <w:rPr>
      <w:rFonts w:eastAsiaTheme="minorEastAsia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5066F"/>
    <w:pPr>
      <w:ind w:left="720"/>
    </w:pPr>
  </w:style>
  <w:style w:type="character" w:customStyle="1" w:styleId="a4">
    <w:name w:val="Абзац списка Знак"/>
    <w:basedOn w:val="a0"/>
    <w:link w:val="a3"/>
    <w:uiPriority w:val="34"/>
    <w:locked/>
    <w:rsid w:val="0015066F"/>
    <w:rPr>
      <w:rFonts w:eastAsiaTheme="minorEastAsia"/>
      <w:sz w:val="28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1506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5066F"/>
    <w:rPr>
      <w:rFonts w:eastAsiaTheme="minorEastAsia"/>
      <w:sz w:val="28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506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5066F"/>
    <w:rPr>
      <w:rFonts w:eastAsiaTheme="minorEastAsia"/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643</Words>
  <Characters>3670</Characters>
  <Application>Microsoft Office Word</Application>
  <DocSecurity>0</DocSecurity>
  <Lines>30</Lines>
  <Paragraphs>8</Paragraphs>
  <ScaleCrop>false</ScaleCrop>
  <Company>Grizli777</Company>
  <LinksUpToDate>false</LinksUpToDate>
  <CharactersWithSpaces>4305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Гульшат</dc:creator>
  <cp:keywords/>
  <dc:description/>
  <cp:lastModifiedBy>Гульшат</cp:lastModifiedBy>
  <cp:revision>1</cp:revision>
  <dcterms:created xsi:type="dcterms:W3CDTF">2012-12-25T06:44:00Z</dcterms:created>
  <dcterms:modified xsi:type="dcterms:W3CDTF">2012-12-25T06:45:00Z</dcterms:modified>
</cp:coreProperties>
</file>