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45" w:rsidRPr="00725949" w:rsidRDefault="00460445" w:rsidP="00460445">
      <w:pPr>
        <w:shd w:val="clear" w:color="auto" w:fill="FFFFFF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725949">
        <w:rPr>
          <w:b/>
          <w:bCs/>
          <w:color w:val="000000"/>
          <w:sz w:val="28"/>
          <w:szCs w:val="28"/>
        </w:rPr>
        <w:t>Бекітемін</w:t>
      </w:r>
    </w:p>
    <w:p w:rsidR="00460445" w:rsidRPr="00725949" w:rsidRDefault="00460445" w:rsidP="00460445">
      <w:pPr>
        <w:shd w:val="clear" w:color="auto" w:fill="FFFFFF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725949">
        <w:rPr>
          <w:b/>
          <w:bCs/>
          <w:color w:val="000000"/>
          <w:kern w:val="36"/>
          <w:sz w:val="28"/>
          <w:szCs w:val="28"/>
        </w:rPr>
        <w:t>Зерттеу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Pr="00725949">
        <w:rPr>
          <w:b/>
          <w:bCs/>
          <w:color w:val="000000"/>
          <w:kern w:val="36"/>
          <w:sz w:val="28"/>
          <w:szCs w:val="28"/>
        </w:rPr>
        <w:t>қызметі</w:t>
      </w:r>
      <w:r w:rsidR="0038479A">
        <w:rPr>
          <w:b/>
          <w:bCs/>
          <w:color w:val="000000"/>
          <w:kern w:val="36"/>
          <w:sz w:val="28"/>
          <w:szCs w:val="28"/>
        </w:rPr>
        <w:t xml:space="preserve"> </w:t>
      </w:r>
      <w:r w:rsidRPr="00725949">
        <w:rPr>
          <w:b/>
          <w:bCs/>
          <w:color w:val="000000"/>
          <w:kern w:val="36"/>
          <w:sz w:val="28"/>
          <w:szCs w:val="28"/>
        </w:rPr>
        <w:t xml:space="preserve">бойынша проректор </w:t>
      </w:r>
    </w:p>
    <w:p w:rsidR="00460445" w:rsidRPr="00725949" w:rsidRDefault="00460445" w:rsidP="00460445">
      <w:pPr>
        <w:shd w:val="clear" w:color="auto" w:fill="FFFFFF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725949">
        <w:rPr>
          <w:b/>
          <w:bCs/>
          <w:color w:val="000000"/>
          <w:kern w:val="36"/>
          <w:sz w:val="28"/>
          <w:szCs w:val="28"/>
        </w:rPr>
        <w:t>Жусупов Б. С.</w:t>
      </w:r>
    </w:p>
    <w:p w:rsidR="00460445" w:rsidRDefault="00460445" w:rsidP="00460445">
      <w:pPr>
        <w:shd w:val="clear" w:color="auto" w:fill="FFFFFF"/>
        <w:jc w:val="right"/>
        <w:rPr>
          <w:b/>
          <w:bCs/>
          <w:color w:val="000000"/>
          <w:sz w:val="28"/>
          <w:szCs w:val="28"/>
          <w:lang w:val="kk-KZ"/>
        </w:rPr>
      </w:pPr>
      <w:r w:rsidRPr="00725949">
        <w:rPr>
          <w:b/>
          <w:bCs/>
          <w:color w:val="000000"/>
          <w:sz w:val="28"/>
          <w:szCs w:val="28"/>
          <w:lang w:val="kk-KZ"/>
        </w:rPr>
        <w:t>______________________</w:t>
      </w:r>
    </w:p>
    <w:p w:rsidR="00460445" w:rsidRPr="00725949" w:rsidRDefault="00460445" w:rsidP="00460445">
      <w:pPr>
        <w:shd w:val="clear" w:color="auto" w:fill="FFFFFF"/>
        <w:jc w:val="right"/>
        <w:rPr>
          <w:b/>
          <w:color w:val="000000"/>
          <w:sz w:val="28"/>
          <w:szCs w:val="28"/>
          <w:lang w:val="kk-KZ"/>
        </w:rPr>
      </w:pPr>
    </w:p>
    <w:p w:rsidR="00460445" w:rsidRPr="00725949" w:rsidRDefault="00460445" w:rsidP="00460445">
      <w:pPr>
        <w:shd w:val="clear" w:color="auto" w:fill="FFFFFF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725949">
        <w:rPr>
          <w:b/>
          <w:bCs/>
          <w:color w:val="000000"/>
          <w:sz w:val="28"/>
          <w:szCs w:val="28"/>
          <w:lang w:val="kk-KZ"/>
        </w:rPr>
        <w:t>«____»___________2018ж.</w:t>
      </w:r>
    </w:p>
    <w:p w:rsidR="00460445" w:rsidRPr="00CC4AC9" w:rsidRDefault="00460445" w:rsidP="00460445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120E5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A31137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120E5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PhD</w:t>
      </w:r>
      <w:r w:rsidR="006A2A2F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20E5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6D110</w:t>
      </w:r>
      <w:r w:rsidR="00120E5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1</w:t>
      </w:r>
      <w:r w:rsidRPr="00120E5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00 -</w:t>
      </w:r>
      <w:r w:rsidR="004D1DAB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МЕДИЦИНА</w:t>
      </w:r>
      <w:r w:rsidRPr="00120E5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 МАМАНДЫҒЫ БОЙЫНША</w:t>
      </w:r>
    </w:p>
    <w:p w:rsidR="00A31137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201</w:t>
      </w:r>
      <w:r w:rsidR="00460445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7</w:t>
      </w: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-201</w:t>
      </w:r>
      <w:r w:rsidR="00460445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8</w:t>
      </w: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 ЖЫЛДАРҒА АРНАЛҒАН ТҮЛЕКТЕРДІҢ МЕМЛЕКЕТТІК </w:t>
      </w:r>
    </w:p>
    <w:p w:rsidR="002F24A1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color w:val="000000"/>
          <w:sz w:val="28"/>
          <w:szCs w:val="28"/>
          <w:lang w:val="kk-KZ" w:eastAsia="ru-RU"/>
        </w:rPr>
      </w:pP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ҚОРЫТЫНДЫ АТТЕСТАЦИЯСЫНЫҢ БАҒДАРЛАМАСЫ</w:t>
      </w: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464917" w:rsidRPr="00597C0C" w:rsidRDefault="00464917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464917" w:rsidRDefault="00464917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464917" w:rsidRDefault="00464917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A31137" w:rsidRDefault="00A31137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484977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Алматы 201</w:t>
      </w:r>
      <w:r w:rsidR="00B42A9F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8</w:t>
      </w: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ж</w:t>
      </w:r>
    </w:p>
    <w:p w:rsidR="00484977" w:rsidRDefault="00484977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3470C1" w:rsidRDefault="003470C1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1D687A" w:rsidRPr="004945E0" w:rsidRDefault="001D687A" w:rsidP="001D687A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 w:rsidRPr="004945E0">
        <w:rPr>
          <w:sz w:val="28"/>
          <w:szCs w:val="28"/>
          <w:lang w:val="kk-KZ"/>
        </w:rPr>
        <w:t>Бағдарлама «</w:t>
      </w:r>
      <w:r>
        <w:rPr>
          <w:sz w:val="28"/>
          <w:szCs w:val="28"/>
          <w:lang w:val="kk-KZ"/>
        </w:rPr>
        <w:t>жалпы медицина факультетет</w:t>
      </w:r>
      <w:r w:rsidRPr="004945E0">
        <w:rPr>
          <w:sz w:val="28"/>
          <w:szCs w:val="28"/>
          <w:lang w:val="kk-KZ"/>
        </w:rPr>
        <w:t>інің» білім бағдарламаларының комитетінің №</w:t>
      </w:r>
      <w:r>
        <w:rPr>
          <w:sz w:val="28"/>
          <w:szCs w:val="28"/>
          <w:lang w:val="kk-KZ"/>
        </w:rPr>
        <w:t>___</w:t>
      </w:r>
      <w:r w:rsidRPr="004945E0">
        <w:rPr>
          <w:sz w:val="28"/>
          <w:szCs w:val="28"/>
          <w:lang w:val="kk-KZ"/>
        </w:rPr>
        <w:t xml:space="preserve"> хаттама</w:t>
      </w:r>
      <w:r>
        <w:rPr>
          <w:sz w:val="28"/>
          <w:szCs w:val="28"/>
          <w:lang w:val="kk-KZ"/>
        </w:rPr>
        <w:t>сы</w:t>
      </w:r>
      <w:r w:rsidRPr="004945E0">
        <w:rPr>
          <w:sz w:val="28"/>
          <w:szCs w:val="28"/>
          <w:lang w:val="kk-KZ"/>
        </w:rPr>
        <w:t>, «</w:t>
      </w:r>
      <w:r>
        <w:rPr>
          <w:sz w:val="28"/>
          <w:szCs w:val="28"/>
          <w:lang w:val="kk-KZ"/>
        </w:rPr>
        <w:t>___</w:t>
      </w:r>
      <w:r w:rsidRPr="004945E0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_________</w:t>
      </w:r>
      <w:r w:rsidRPr="004945E0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__</w:t>
      </w:r>
      <w:r w:rsidRPr="004945E0">
        <w:rPr>
          <w:sz w:val="28"/>
          <w:szCs w:val="28"/>
          <w:lang w:val="kk-KZ"/>
        </w:rPr>
        <w:t>ж. мәжілісінде қарастырылған және бекітілген.</w:t>
      </w:r>
    </w:p>
    <w:p w:rsidR="001D687A" w:rsidRPr="004945E0" w:rsidRDefault="001D687A" w:rsidP="001D687A">
      <w:pPr>
        <w:shd w:val="clear" w:color="auto" w:fill="FFFFFF" w:themeFill="background1"/>
        <w:tabs>
          <w:tab w:val="left" w:pos="914"/>
        </w:tabs>
        <w:jc w:val="both"/>
        <w:rPr>
          <w:sz w:val="28"/>
          <w:szCs w:val="28"/>
          <w:lang w:val="kk-KZ"/>
        </w:rPr>
      </w:pPr>
      <w:r w:rsidRPr="004945E0">
        <w:rPr>
          <w:sz w:val="28"/>
          <w:szCs w:val="28"/>
          <w:lang w:val="kk-KZ"/>
        </w:rPr>
        <w:tab/>
      </w:r>
    </w:p>
    <w:p w:rsidR="001D687A" w:rsidRPr="004945E0" w:rsidRDefault="001D687A" w:rsidP="001D687A">
      <w:pPr>
        <w:shd w:val="clear" w:color="auto" w:fill="FFFFFF" w:themeFill="background1"/>
        <w:jc w:val="both"/>
        <w:rPr>
          <w:sz w:val="28"/>
          <w:szCs w:val="28"/>
        </w:rPr>
      </w:pPr>
      <w:r w:rsidRPr="004945E0">
        <w:rPr>
          <w:sz w:val="28"/>
          <w:szCs w:val="28"/>
          <w:lang w:val="kk-KZ"/>
        </w:rPr>
        <w:t>ББК төрайымы</w:t>
      </w:r>
      <w:r w:rsidRPr="004945E0">
        <w:rPr>
          <w:sz w:val="28"/>
          <w:szCs w:val="28"/>
          <w:lang w:val="kk-KZ"/>
        </w:rPr>
        <w:tab/>
      </w:r>
      <w:r w:rsidRPr="004945E0">
        <w:rPr>
          <w:sz w:val="28"/>
          <w:szCs w:val="28"/>
          <w:lang w:val="kk-KZ"/>
        </w:rPr>
        <w:tab/>
      </w:r>
      <w:r w:rsidRPr="004945E0">
        <w:rPr>
          <w:sz w:val="28"/>
          <w:szCs w:val="28"/>
          <w:lang w:val="kk-KZ"/>
        </w:rPr>
        <w:tab/>
      </w:r>
      <w:r w:rsidRPr="004945E0">
        <w:rPr>
          <w:sz w:val="28"/>
          <w:szCs w:val="28"/>
          <w:lang w:val="kk-KZ"/>
        </w:rPr>
        <w:tab/>
      </w:r>
      <w:r w:rsidRPr="004945E0">
        <w:rPr>
          <w:sz w:val="28"/>
          <w:szCs w:val="28"/>
          <w:lang w:val="kk-KZ"/>
        </w:rPr>
        <w:tab/>
      </w:r>
      <w:r w:rsidRPr="004945E0">
        <w:rPr>
          <w:sz w:val="28"/>
          <w:szCs w:val="28"/>
          <w:lang w:val="kk-KZ"/>
        </w:rPr>
        <w:tab/>
      </w:r>
      <w:r w:rsidRPr="004945E0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Карибаева Д.О.</w:t>
      </w:r>
    </w:p>
    <w:p w:rsidR="00460445" w:rsidRDefault="00460445" w:rsidP="00460445">
      <w:pPr>
        <w:shd w:val="clear" w:color="auto" w:fill="FFFFFF" w:themeFill="background1"/>
        <w:jc w:val="both"/>
        <w:rPr>
          <w:sz w:val="28"/>
          <w:szCs w:val="28"/>
        </w:rPr>
      </w:pPr>
    </w:p>
    <w:p w:rsidR="00460445" w:rsidRPr="00961A87" w:rsidRDefault="00460445" w:rsidP="00460445">
      <w:pPr>
        <w:shd w:val="clear" w:color="auto" w:fill="FFFFFF" w:themeFill="background1"/>
        <w:jc w:val="both"/>
        <w:rPr>
          <w:sz w:val="28"/>
          <w:szCs w:val="28"/>
        </w:rPr>
      </w:pPr>
    </w:p>
    <w:p w:rsidR="00460445" w:rsidRPr="00961A87" w:rsidRDefault="00460445" w:rsidP="00460445">
      <w:pPr>
        <w:shd w:val="clear" w:color="auto" w:fill="FFFFFF" w:themeFill="background1"/>
        <w:tabs>
          <w:tab w:val="left" w:pos="8789"/>
        </w:tabs>
        <w:jc w:val="both"/>
        <w:rPr>
          <w:color w:val="000000"/>
          <w:sz w:val="28"/>
          <w:szCs w:val="28"/>
        </w:rPr>
      </w:pPr>
      <w:r w:rsidRPr="00961A87">
        <w:rPr>
          <w:sz w:val="28"/>
          <w:szCs w:val="28"/>
          <w:lang w:val="kk-KZ"/>
        </w:rPr>
        <w:t>Бағдарлама ҚазҰМУ Академиялық Кеңесінің</w:t>
      </w:r>
      <w:r w:rsidRPr="00961A87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>___</w:t>
      </w:r>
      <w:r w:rsidRPr="00961A87">
        <w:rPr>
          <w:color w:val="000000"/>
          <w:sz w:val="28"/>
          <w:szCs w:val="28"/>
          <w:lang w:val="kk-KZ"/>
        </w:rPr>
        <w:t xml:space="preserve">хаттама, </w:t>
      </w:r>
      <w:r w:rsidRPr="00961A8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61A87">
        <w:rPr>
          <w:sz w:val="28"/>
          <w:szCs w:val="28"/>
        </w:rPr>
        <w:t>»</w:t>
      </w:r>
      <w:r>
        <w:rPr>
          <w:sz w:val="28"/>
          <w:szCs w:val="28"/>
        </w:rPr>
        <w:t>_</w:t>
      </w:r>
      <w:r w:rsidRPr="00961A87">
        <w:rPr>
          <w:sz w:val="28"/>
          <w:szCs w:val="28"/>
          <w:lang w:val="kk-KZ"/>
        </w:rPr>
        <w:t>______ 201</w:t>
      </w:r>
      <w:r>
        <w:rPr>
          <w:sz w:val="28"/>
          <w:szCs w:val="28"/>
          <w:lang w:val="kk-KZ"/>
        </w:rPr>
        <w:t>8</w:t>
      </w:r>
      <w:r w:rsidRPr="00961A87">
        <w:rPr>
          <w:sz w:val="28"/>
          <w:szCs w:val="28"/>
          <w:lang w:val="kk-KZ"/>
        </w:rPr>
        <w:t>ж.мәжілісінде бекітілген.</w:t>
      </w:r>
    </w:p>
    <w:p w:rsidR="00460445" w:rsidRPr="00961A87" w:rsidRDefault="00460445" w:rsidP="0046044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460445" w:rsidRPr="00961A87" w:rsidRDefault="00460445" w:rsidP="0046044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61A87">
        <w:rPr>
          <w:color w:val="000000"/>
          <w:sz w:val="28"/>
          <w:szCs w:val="28"/>
          <w:lang w:val="kk-KZ"/>
        </w:rPr>
        <w:t xml:space="preserve">Төраға, </w:t>
      </w:r>
      <w:r>
        <w:rPr>
          <w:color w:val="000000"/>
          <w:sz w:val="28"/>
          <w:szCs w:val="28"/>
          <w:lang w:val="kk-KZ"/>
        </w:rPr>
        <w:t>м.ғ.к.</w:t>
      </w:r>
      <w:r w:rsidRPr="00961A87">
        <w:rPr>
          <w:color w:val="000000"/>
          <w:sz w:val="28"/>
          <w:szCs w:val="28"/>
          <w:lang w:val="kk-KZ"/>
        </w:rPr>
        <w:tab/>
      </w:r>
      <w:r w:rsidRPr="00961A87">
        <w:rPr>
          <w:color w:val="000000"/>
          <w:sz w:val="28"/>
          <w:szCs w:val="28"/>
          <w:lang w:val="kk-KZ"/>
        </w:rPr>
        <w:tab/>
      </w:r>
      <w:r w:rsidRPr="00961A87">
        <w:rPr>
          <w:color w:val="000000"/>
          <w:sz w:val="28"/>
          <w:szCs w:val="28"/>
          <w:lang w:val="kk-KZ"/>
        </w:rPr>
        <w:tab/>
      </w:r>
      <w:r w:rsidRPr="00961A87">
        <w:rPr>
          <w:color w:val="000000"/>
          <w:sz w:val="28"/>
          <w:szCs w:val="28"/>
          <w:lang w:val="kk-KZ"/>
        </w:rPr>
        <w:tab/>
      </w:r>
      <w:r w:rsidRPr="00961A87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961A87">
        <w:rPr>
          <w:sz w:val="28"/>
          <w:szCs w:val="28"/>
        </w:rPr>
        <w:t>_____________</w:t>
      </w:r>
      <w:r>
        <w:rPr>
          <w:sz w:val="28"/>
          <w:szCs w:val="28"/>
        </w:rPr>
        <w:t>Баильдинова К.Ж</w:t>
      </w:r>
      <w:r w:rsidRPr="00961A87">
        <w:rPr>
          <w:sz w:val="28"/>
          <w:szCs w:val="28"/>
          <w:lang w:val="kk-KZ"/>
        </w:rPr>
        <w:t>.</w:t>
      </w:r>
    </w:p>
    <w:p w:rsidR="00460445" w:rsidRPr="00830628" w:rsidRDefault="00460445" w:rsidP="00460445">
      <w:pPr>
        <w:pStyle w:val="2"/>
        <w:shd w:val="clear" w:color="auto" w:fill="FFFFFF" w:themeFill="background1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</w:p>
    <w:p w:rsidR="00460445" w:rsidRDefault="00460445" w:rsidP="00460445">
      <w:pPr>
        <w:shd w:val="clear" w:color="auto" w:fill="FFFFFF" w:themeFill="background1"/>
        <w:jc w:val="both"/>
        <w:rPr>
          <w:b/>
          <w:szCs w:val="24"/>
        </w:rPr>
      </w:pPr>
    </w:p>
    <w:p w:rsidR="003470C1" w:rsidRPr="00460445" w:rsidRDefault="003470C1" w:rsidP="00927CF9">
      <w:pPr>
        <w:shd w:val="clear" w:color="auto" w:fill="FFFFFF" w:themeFill="background1"/>
        <w:jc w:val="both"/>
        <w:rPr>
          <w:b/>
          <w:szCs w:val="24"/>
        </w:rPr>
      </w:pPr>
    </w:p>
    <w:p w:rsidR="003470C1" w:rsidRPr="00D84EE0" w:rsidRDefault="003470C1" w:rsidP="00927CF9">
      <w:pPr>
        <w:shd w:val="clear" w:color="auto" w:fill="FFFFFF" w:themeFill="background1"/>
        <w:jc w:val="both"/>
        <w:rPr>
          <w:b/>
          <w:szCs w:val="24"/>
          <w:lang w:val="kk-KZ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9E6433" w:rsidRPr="00D84EE0" w:rsidRDefault="009E6433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B6709D" w:rsidRPr="00D84EE0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2F24A1" w:rsidRPr="00D84EE0" w:rsidRDefault="002F24A1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D84EE0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lastRenderedPageBreak/>
        <w:t>КІРІСПЕ</w:t>
      </w:r>
    </w:p>
    <w:p w:rsidR="00B304A1" w:rsidRPr="00B304A1" w:rsidRDefault="00B304A1" w:rsidP="00B304A1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Қазіргі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таңда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әлемде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жаңа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білім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көздері, жаңа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технологиялар, жаңа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салалар, жаңа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құндылықтар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пайда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болумен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қатар, жаңа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мамандар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дайындау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қажеттілігі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яғни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ғылым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жүргізуге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 xml:space="preserve">қабілетті, 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медицина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іс-шаралар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жүргізіге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қабілетті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Қазақстан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Республикасының</w:t>
      </w:r>
      <w:r w:rsidR="00E235A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медицина ғылым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мәселелерді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iCs/>
          <w:color w:val="000000"/>
          <w:sz w:val="28"/>
          <w:szCs w:val="28"/>
          <w:lang w:val="kk-KZ" w:eastAsia="ru-RU"/>
        </w:rPr>
        <w:t>ХХI</w:t>
      </w:r>
      <w:r w:rsidR="004A7F3C">
        <w:rPr>
          <w:rFonts w:eastAsia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iCs/>
          <w:color w:val="000000"/>
          <w:sz w:val="28"/>
          <w:szCs w:val="28"/>
          <w:lang w:val="kk-KZ" w:eastAsia="ru-RU"/>
        </w:rPr>
        <w:t>ғасыр</w:t>
      </w:r>
      <w:r w:rsidR="004A7F3C">
        <w:rPr>
          <w:rFonts w:eastAsia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iCs/>
          <w:color w:val="000000"/>
          <w:sz w:val="28"/>
          <w:szCs w:val="28"/>
          <w:lang w:val="kk-KZ" w:eastAsia="ru-RU"/>
        </w:rPr>
        <w:t>талаптарына</w:t>
      </w:r>
      <w:r w:rsidR="004A7F3C">
        <w:rPr>
          <w:rFonts w:eastAsia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iCs/>
          <w:color w:val="000000"/>
          <w:sz w:val="28"/>
          <w:szCs w:val="28"/>
          <w:lang w:val="kk-KZ" w:eastAsia="ru-RU"/>
        </w:rPr>
        <w:t>сай</w:t>
      </w:r>
      <w:r w:rsidR="004A7F3C">
        <w:rPr>
          <w:rFonts w:eastAsia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iCs/>
          <w:color w:val="000000"/>
          <w:sz w:val="28"/>
          <w:szCs w:val="28"/>
          <w:lang w:val="kk-KZ" w:eastAsia="ru-RU"/>
        </w:rPr>
        <w:t>шешебілетін</w:t>
      </w:r>
      <w:r w:rsidR="004A7F3C">
        <w:rPr>
          <w:rFonts w:eastAsia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iCs/>
          <w:color w:val="000000"/>
          <w:sz w:val="28"/>
          <w:szCs w:val="28"/>
          <w:lang w:val="kk-KZ" w:eastAsia="ru-RU"/>
        </w:rPr>
        <w:t>мамандар</w:t>
      </w:r>
      <w:r w:rsidR="004A7F3C">
        <w:rPr>
          <w:rFonts w:eastAsia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iCs/>
          <w:color w:val="000000"/>
          <w:sz w:val="28"/>
          <w:szCs w:val="28"/>
          <w:lang w:val="kk-KZ" w:eastAsia="ru-RU"/>
        </w:rPr>
        <w:t>қажет.</w:t>
      </w:r>
    </w:p>
    <w:p w:rsidR="00B304A1" w:rsidRPr="00B304A1" w:rsidRDefault="00B304A1" w:rsidP="00B304A1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Кадрлық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әлеуеттi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күшейту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арқылы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денсаулық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жүйесiн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жетiлдiру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D766E5" w:rsidRPr="00B304A1">
        <w:rPr>
          <w:rFonts w:eastAsia="Times New Roman"/>
          <w:color w:val="000000"/>
          <w:sz w:val="28"/>
          <w:szCs w:val="28"/>
          <w:lang w:val="kk-KZ" w:eastAsia="ru-RU"/>
        </w:rPr>
        <w:t>-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бұлҚазақстан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Республикасының</w:t>
      </w:r>
      <w:r w:rsidR="004A7F3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бәсекеге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қабiлеттi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денсаулық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жүйесіне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жылжуының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бірден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–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бір</w:t>
      </w:r>
      <w:r w:rsidR="00694C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маңызды</w:t>
      </w:r>
      <w:r w:rsidR="00D766E5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кілттік</w:t>
      </w:r>
      <w:r w:rsidR="00D766E5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күші</w:t>
      </w:r>
      <w:r w:rsidR="00D766E5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болып</w:t>
      </w:r>
      <w:r w:rsidR="00D766E5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B304A1">
        <w:rPr>
          <w:rFonts w:eastAsia="Times New Roman"/>
          <w:color w:val="000000"/>
          <w:sz w:val="28"/>
          <w:szCs w:val="28"/>
          <w:lang w:val="kk-KZ" w:eastAsia="ru-RU"/>
        </w:rPr>
        <w:t>табылады.</w:t>
      </w:r>
    </w:p>
    <w:p w:rsidR="00B304A1" w:rsidRPr="00B304A1" w:rsidRDefault="00D766E5" w:rsidP="00B304A1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>
        <w:rPr>
          <w:rFonts w:eastAsia="Times New Roman"/>
          <w:color w:val="000000"/>
          <w:sz w:val="28"/>
          <w:szCs w:val="28"/>
          <w:lang w:val="kk-KZ" w:eastAsia="ru-RU"/>
        </w:rPr>
        <w:t>PhD 6D1101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00-«</w:t>
      </w:r>
      <w:r>
        <w:rPr>
          <w:rFonts w:eastAsia="Times New Roman"/>
          <w:color w:val="000000"/>
          <w:sz w:val="28"/>
          <w:szCs w:val="28"/>
          <w:lang w:val="kk-KZ" w:eastAsia="ru-RU"/>
        </w:rPr>
        <w:t>Медицина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» докторанттарының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қорытынды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аттестациясы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бірүлгі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ережелеріне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сай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ағымдағы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үлгерімді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бақылауға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сәйкес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жүргiзiледi, жоғарғы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оқу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орындарының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аралық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қорытынды</w:t>
      </w:r>
      <w:r w:rsidR="003F2EE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аттестациясы докторантураның ГОСО-сы 20</w:t>
      </w:r>
      <w:r w:rsidR="00B304A1" w:rsidRPr="0004174B">
        <w:rPr>
          <w:rFonts w:eastAsia="Times New Roman"/>
          <w:color w:val="000000"/>
          <w:sz w:val="28"/>
          <w:szCs w:val="28"/>
          <w:lang w:val="kk-KZ" w:eastAsia="ru-RU"/>
        </w:rPr>
        <w:t>15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 xml:space="preserve">жылдың </w:t>
      </w:r>
      <w:r w:rsidR="00167B65">
        <w:rPr>
          <w:rFonts w:eastAsia="Times New Roman"/>
          <w:color w:val="000000"/>
          <w:sz w:val="28"/>
          <w:szCs w:val="28"/>
          <w:lang w:val="kk-KZ" w:eastAsia="ru-RU"/>
        </w:rPr>
        <w:t>31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 xml:space="preserve"> ш</w:t>
      </w:r>
      <w:r w:rsidR="00B304A1" w:rsidRPr="0004174B">
        <w:rPr>
          <w:rFonts w:eastAsia="Times New Roman"/>
          <w:color w:val="000000"/>
          <w:sz w:val="28"/>
          <w:szCs w:val="28"/>
          <w:lang w:val="kk-KZ" w:eastAsia="ru-RU"/>
        </w:rPr>
        <w:t>і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лде ҚР Денсаулық</w:t>
      </w:r>
      <w:r w:rsidR="00AF35A3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AF35A3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министрлігінің №</w:t>
      </w:r>
      <w:r w:rsidR="00B304A1" w:rsidRPr="0004174B">
        <w:rPr>
          <w:rFonts w:eastAsia="Times New Roman"/>
          <w:color w:val="000000"/>
          <w:sz w:val="28"/>
          <w:szCs w:val="28"/>
          <w:lang w:val="kk-KZ" w:eastAsia="ru-RU"/>
        </w:rPr>
        <w:t>647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бұйрығымен</w:t>
      </w:r>
      <w:r w:rsidR="00AF35A3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B304A1" w:rsidRPr="00B304A1">
        <w:rPr>
          <w:rFonts w:eastAsia="Times New Roman"/>
          <w:color w:val="000000"/>
          <w:sz w:val="28"/>
          <w:szCs w:val="28"/>
          <w:lang w:val="kk-KZ" w:eastAsia="ru-RU"/>
        </w:rPr>
        <w:t>бекітілген.</w:t>
      </w:r>
    </w:p>
    <w:p w:rsidR="002F24A1" w:rsidRPr="006A2A2F" w:rsidRDefault="002F24A1" w:rsidP="00516B21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6D110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>1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00-</w:t>
      </w:r>
      <w:r w:rsidR="002D6C57">
        <w:rPr>
          <w:rFonts w:eastAsia="Times New Roman"/>
          <w:color w:val="000000"/>
          <w:sz w:val="28"/>
          <w:szCs w:val="28"/>
          <w:lang w:val="kk-KZ" w:eastAsia="ru-RU"/>
        </w:rPr>
        <w:t>«М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>едицина</w:t>
      </w:r>
      <w:r w:rsidR="002D6C57">
        <w:rPr>
          <w:rFonts w:eastAsia="Times New Roman"/>
          <w:color w:val="000000"/>
          <w:sz w:val="28"/>
          <w:szCs w:val="28"/>
          <w:lang w:val="kk-KZ" w:eastAsia="ru-RU"/>
        </w:rPr>
        <w:t>»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мамандығы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бойынша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кешенді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мемлекеттік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емтихандардың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мақсаты 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>–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түлектің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теориялық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білімдерді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пайдалануы, тәжірибелік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біліктілігі </w:t>
      </w:r>
      <w:r w:rsidR="006A2A2F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мен </w:t>
      </w:r>
      <w:r w:rsidR="00927E8B"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516B21">
        <w:rPr>
          <w:rFonts w:eastAsia="Times New Roman"/>
          <w:color w:val="000000"/>
          <w:sz w:val="28"/>
          <w:szCs w:val="28"/>
          <w:lang w:val="kk-KZ" w:eastAsia="ru-RU"/>
        </w:rPr>
        <w:t>медицина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бойынша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практикалық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дағдыларды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пайдалану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дәрежесін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белгілеуі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бойынша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кәсiби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дайындықтың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дәрежесiн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 </w:t>
      </w:r>
      <w:r w:rsidR="00516B21">
        <w:rPr>
          <w:rFonts w:eastAsia="Times New Roman"/>
          <w:color w:val="000000"/>
          <w:sz w:val="28"/>
          <w:szCs w:val="28"/>
          <w:lang w:val="kk-KZ" w:eastAsia="ru-RU"/>
        </w:rPr>
        <w:t>медицина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медицина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кәсiби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мiндеттердi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шеше</w:t>
      </w:r>
      <w:r w:rsid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бiлуі</w:t>
      </w:r>
      <w:r w:rsid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болып</w:t>
      </w:r>
      <w:r w:rsid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табылады.</w:t>
      </w:r>
    </w:p>
    <w:p w:rsidR="002F24A1" w:rsidRPr="00516B21" w:rsidRDefault="002D6C57" w:rsidP="00516B21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6D110100-</w:t>
      </w:r>
      <w:r>
        <w:rPr>
          <w:rFonts w:eastAsia="Times New Roman"/>
          <w:color w:val="000000"/>
          <w:sz w:val="28"/>
          <w:szCs w:val="28"/>
          <w:lang w:val="kk-KZ" w:eastAsia="ru-RU"/>
        </w:rPr>
        <w:t>«М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>едицина</w:t>
      </w:r>
      <w:r>
        <w:rPr>
          <w:rFonts w:eastAsia="Times New Roman"/>
          <w:color w:val="000000"/>
          <w:sz w:val="28"/>
          <w:szCs w:val="28"/>
          <w:lang w:val="kk-KZ" w:eastAsia="ru-RU"/>
        </w:rPr>
        <w:t>»</w:t>
      </w:r>
      <w:r w:rsidRPr="006A2A2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мамандығына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байланысты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дайындық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деңгейінің минимум көрсеткішіне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сай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мемлекеттік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талаптар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516B21" w:rsidRPr="00516B21">
        <w:rPr>
          <w:rFonts w:eastAsia="Times New Roman"/>
          <w:color w:val="000000"/>
          <w:sz w:val="28"/>
          <w:szCs w:val="28"/>
          <w:lang w:val="kk-KZ" w:eastAsia="ru-RU"/>
        </w:rPr>
        <w:t>бойынша, м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емлекеттік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кешенді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қорытынды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емтихандардың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құрамына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келесі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пәндер</w:t>
      </w:r>
      <w:r w:rsidR="00E34E74" w:rsidRPr="00516B2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516B21">
        <w:rPr>
          <w:rFonts w:eastAsia="Times New Roman"/>
          <w:color w:val="000000"/>
          <w:sz w:val="28"/>
          <w:szCs w:val="28"/>
          <w:lang w:val="kk-KZ" w:eastAsia="ru-RU"/>
        </w:rPr>
        <w:t>кірді</w:t>
      </w:r>
      <w:r w:rsidR="00516B21">
        <w:rPr>
          <w:rFonts w:eastAsia="Times New Roman"/>
          <w:color w:val="000000"/>
          <w:sz w:val="28"/>
          <w:szCs w:val="28"/>
          <w:lang w:val="kk-KZ" w:eastAsia="ru-RU"/>
        </w:rPr>
        <w:t>:</w:t>
      </w:r>
    </w:p>
    <w:p w:rsidR="000176E9" w:rsidRPr="000176E9" w:rsidRDefault="000176E9" w:rsidP="000176E9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-ғылымизерттеулердiңәдiснамасы;</w:t>
      </w:r>
    </w:p>
    <w:p w:rsidR="000176E9" w:rsidRPr="000176E9" w:rsidRDefault="000176E9" w:rsidP="000176E9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- биостатистика (</w:t>
      </w:r>
      <w:r>
        <w:rPr>
          <w:rFonts w:eastAsia="Times New Roman"/>
          <w:color w:val="000000"/>
          <w:sz w:val="28"/>
          <w:szCs w:val="28"/>
          <w:lang w:val="kk-KZ" w:eastAsia="ru-RU"/>
        </w:rPr>
        <w:t>жеделдетілген курсы</w:t>
      </w: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).</w:t>
      </w:r>
    </w:p>
    <w:p w:rsidR="000176E9" w:rsidRPr="000176E9" w:rsidRDefault="00827AA3" w:rsidP="000176E9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>
        <w:rPr>
          <w:rFonts w:eastAsia="Times New Roman"/>
          <w:color w:val="000000"/>
          <w:sz w:val="28"/>
          <w:szCs w:val="28"/>
          <w:lang w:val="kk-KZ" w:eastAsia="ru-RU"/>
        </w:rPr>
        <w:t>Докторант</w:t>
      </w:r>
      <w:r w:rsidR="0031196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жоғарыда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айтылған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пәндер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бойынша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бiлiктiлiк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талаптарына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сәйкес,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білу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0176E9" w:rsidRPr="000176E9">
        <w:rPr>
          <w:rFonts w:eastAsia="Times New Roman"/>
          <w:color w:val="000000"/>
          <w:sz w:val="28"/>
          <w:szCs w:val="28"/>
          <w:lang w:val="kk-KZ" w:eastAsia="ru-RU"/>
        </w:rPr>
        <w:t>керек:</w:t>
      </w:r>
    </w:p>
    <w:p w:rsidR="000176E9" w:rsidRPr="000176E9" w:rsidRDefault="000176E9" w:rsidP="000176E9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Отандық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медицинаның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жаһандану мен интернационализация жағдайларына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байланысты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қазіргі</w:t>
      </w:r>
      <w:r w:rsidR="008E7B8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176E9">
        <w:rPr>
          <w:rFonts w:eastAsia="Times New Roman"/>
          <w:color w:val="000000"/>
          <w:sz w:val="28"/>
          <w:szCs w:val="28"/>
          <w:lang w:val="kk-KZ" w:eastAsia="ru-RU"/>
        </w:rPr>
        <w:t>үрдістерімен, бағыттары мен заңдылықтарын;</w:t>
      </w:r>
    </w:p>
    <w:p w:rsidR="000176E9" w:rsidRPr="00F64BF5" w:rsidRDefault="000176E9" w:rsidP="000176E9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8E7B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танымның</w:t>
      </w:r>
      <w:r w:rsidR="008E7B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әдiснамасын;</w:t>
      </w:r>
    </w:p>
    <w:p w:rsidR="000176E9" w:rsidRPr="00F64BF5" w:rsidRDefault="000176E9" w:rsidP="000176E9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Әлемдiк</w:t>
      </w:r>
      <w:r w:rsidR="00841B5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841B5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қазақстандық медицина ғылымдарының</w:t>
      </w:r>
      <w:r w:rsidR="00841B5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тиiстi</w:t>
      </w:r>
      <w:r w:rsidR="00841B5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саладағы</w:t>
      </w:r>
      <w:r w:rsidR="00841B5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жетістіктерін;</w:t>
      </w:r>
    </w:p>
    <w:p w:rsidR="000176E9" w:rsidRPr="00F64BF5" w:rsidRDefault="000176E9" w:rsidP="000176E9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Жоспарлаудыңережелеріменұстанымдарын, медицинадағызерттеулер мен әдістерін;</w:t>
      </w:r>
    </w:p>
    <w:p w:rsidR="000176E9" w:rsidRPr="00F64BF5" w:rsidRDefault="000176E9" w:rsidP="000176E9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Дәлелдікмедицинаныңтеориялықжәнетәжірибелікнегіздерін;</w:t>
      </w:r>
    </w:p>
    <w:p w:rsidR="000176E9" w:rsidRPr="00F64BF5" w:rsidRDefault="000176E9" w:rsidP="000176E9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Медициналық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биомедициналық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зерттеулердің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есептік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салалық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анализдеу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әдістерін;</w:t>
      </w:r>
    </w:p>
    <w:p w:rsidR="000176E9" w:rsidRDefault="000176E9" w:rsidP="000176E9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Заманауи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клиникалық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эпидемиологияның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теориялық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биоэтика</w:t>
      </w:r>
      <w:r w:rsidR="003119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негіздерін.</w:t>
      </w:r>
    </w:p>
    <w:p w:rsidR="000176E9" w:rsidRPr="00601A7E" w:rsidRDefault="000176E9" w:rsidP="000176E9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360"/>
          <w:tab w:val="left" w:pos="371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01A7E">
        <w:rPr>
          <w:sz w:val="28"/>
          <w:szCs w:val="28"/>
          <w:lang w:val="kk-KZ"/>
        </w:rPr>
        <w:t>Ғылым мен білімнің әлеуметтік жауапкершілігін түсіну және қабылдау</w:t>
      </w:r>
      <w:r w:rsidRPr="00601A7E">
        <w:rPr>
          <w:lang w:val="kk-KZ"/>
        </w:rPr>
        <w:t>;</w:t>
      </w:r>
    </w:p>
    <w:p w:rsidR="000176E9" w:rsidRPr="00601A7E" w:rsidRDefault="000176E9" w:rsidP="000176E9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360"/>
          <w:tab w:val="left" w:pos="371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kk-KZ"/>
        </w:rPr>
      </w:pPr>
      <w:r w:rsidRPr="00601A7E">
        <w:rPr>
          <w:sz w:val="28"/>
          <w:szCs w:val="28"/>
          <w:lang w:val="kk-KZ"/>
        </w:rPr>
        <w:t>Ғылыми қарым-қатынас пен халықаралық ынтымақтастықты жүзеге асыру үшін жетілген тү</w:t>
      </w:r>
      <w:r w:rsidRPr="00601A7E">
        <w:rPr>
          <w:sz w:val="28"/>
          <w:szCs w:val="28"/>
        </w:rPr>
        <w:t>рде а</w:t>
      </w:r>
      <w:r w:rsidRPr="00601A7E">
        <w:rPr>
          <w:sz w:val="28"/>
          <w:szCs w:val="28"/>
          <w:lang w:val="kk-KZ"/>
        </w:rPr>
        <w:t>ғ</w:t>
      </w:r>
      <w:r w:rsidRPr="00601A7E">
        <w:rPr>
          <w:sz w:val="28"/>
          <w:szCs w:val="28"/>
        </w:rPr>
        <w:t>ылшын т</w:t>
      </w:r>
      <w:r w:rsidRPr="00601A7E">
        <w:rPr>
          <w:sz w:val="28"/>
          <w:szCs w:val="28"/>
          <w:lang w:val="kk-KZ"/>
        </w:rPr>
        <w:t>і</w:t>
      </w:r>
      <w:r w:rsidRPr="00601A7E">
        <w:rPr>
          <w:sz w:val="28"/>
          <w:szCs w:val="28"/>
        </w:rPr>
        <w:t>л</w:t>
      </w:r>
      <w:r w:rsidRPr="00601A7E">
        <w:rPr>
          <w:sz w:val="28"/>
          <w:szCs w:val="28"/>
          <w:lang w:val="kk-KZ"/>
        </w:rPr>
        <w:t>і</w:t>
      </w:r>
      <w:r w:rsidRPr="00601A7E">
        <w:rPr>
          <w:sz w:val="28"/>
          <w:szCs w:val="28"/>
        </w:rPr>
        <w:t>н</w:t>
      </w:r>
      <w:r w:rsidRPr="00601A7E">
        <w:rPr>
          <w:sz w:val="28"/>
          <w:szCs w:val="28"/>
          <w:lang w:val="kk-KZ"/>
        </w:rPr>
        <w:t xml:space="preserve"> білу керек</w:t>
      </w:r>
      <w:r>
        <w:rPr>
          <w:sz w:val="28"/>
          <w:szCs w:val="28"/>
          <w:lang w:val="kk-KZ"/>
        </w:rPr>
        <w:t>.</w:t>
      </w:r>
    </w:p>
    <w:p w:rsidR="000176E9" w:rsidRPr="00601A7E" w:rsidRDefault="000176E9" w:rsidP="000176E9">
      <w:pPr>
        <w:pStyle w:val="a7"/>
        <w:widowControl w:val="0"/>
        <w:tabs>
          <w:tab w:val="left" w:pos="371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kk-KZ"/>
        </w:rPr>
      </w:pPr>
      <w:r w:rsidRPr="00601A7E">
        <w:rPr>
          <w:color w:val="000000"/>
          <w:sz w:val="28"/>
          <w:szCs w:val="28"/>
          <w:lang w:val="kk-KZ"/>
        </w:rPr>
        <w:t xml:space="preserve">Жасай білу қажет: </w:t>
      </w:r>
    </w:p>
    <w:p w:rsidR="000176E9" w:rsidRPr="00044947" w:rsidRDefault="000176E9" w:rsidP="000176E9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044947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31196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44947">
        <w:rPr>
          <w:rFonts w:eastAsia="Times New Roman"/>
          <w:color w:val="000000"/>
          <w:sz w:val="28"/>
          <w:szCs w:val="28"/>
          <w:lang w:val="kk-KZ" w:eastAsia="ru-RU"/>
        </w:rPr>
        <w:t>зерттеулер</w:t>
      </w:r>
      <w:r w:rsidR="0031196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44947">
        <w:rPr>
          <w:rFonts w:eastAsia="Times New Roman"/>
          <w:color w:val="000000"/>
          <w:sz w:val="28"/>
          <w:szCs w:val="28"/>
          <w:lang w:val="kk-KZ" w:eastAsia="ru-RU"/>
        </w:rPr>
        <w:t>барысын</w:t>
      </w:r>
      <w:r w:rsidR="0031196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44947">
        <w:rPr>
          <w:rFonts w:eastAsia="Times New Roman"/>
          <w:color w:val="000000"/>
          <w:sz w:val="28"/>
          <w:szCs w:val="28"/>
          <w:lang w:val="kk-KZ" w:eastAsia="ru-RU"/>
        </w:rPr>
        <w:t>ұйымдастырып, жоспарлап, жүзеге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44947">
        <w:rPr>
          <w:rFonts w:eastAsia="Times New Roman"/>
          <w:color w:val="000000"/>
          <w:sz w:val="28"/>
          <w:szCs w:val="28"/>
          <w:lang w:val="kk-KZ" w:eastAsia="ru-RU"/>
        </w:rPr>
        <w:t>асыра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44947">
        <w:rPr>
          <w:rFonts w:eastAsia="Times New Roman"/>
          <w:color w:val="000000"/>
          <w:sz w:val="28"/>
          <w:szCs w:val="28"/>
          <w:lang w:val="kk-KZ" w:eastAsia="ru-RU"/>
        </w:rPr>
        <w:t>біледі</w:t>
      </w:r>
    </w:p>
    <w:p w:rsidR="000176E9" w:rsidRPr="007A6AB9" w:rsidRDefault="000176E9" w:rsidP="000176E9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Зерттеулер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саласында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әртүрлі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теориялық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концепцияларды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талдап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, бағалап, салыстыра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біледі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қорытынды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жасай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біледі;</w:t>
      </w:r>
    </w:p>
    <w:p w:rsidR="000176E9" w:rsidRPr="007A6AB9" w:rsidRDefault="000176E9" w:rsidP="000176E9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Заманауи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теориялар мен талдау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әдістерінің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негізінде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академиялық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тұтастық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пен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өзіндік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зерттеу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жүргізе</w:t>
      </w:r>
      <w:r w:rsidR="009962C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алатыны;</w:t>
      </w:r>
    </w:p>
    <w:p w:rsidR="000176E9" w:rsidRPr="00A74600" w:rsidRDefault="000176E9" w:rsidP="000176E9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Өзіндік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жаңа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ойларын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туындап, ғылыми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қоғамдастыққа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өзінің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білімін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жеткізе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біледі, ғылыми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білімдерінің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шекараларын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ұлғайта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алады;</w:t>
      </w:r>
    </w:p>
    <w:p w:rsidR="000176E9" w:rsidRPr="00A74600" w:rsidRDefault="000176E9" w:rsidP="000176E9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Заманауи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зерттеу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әдістерінің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тиімдісін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таңдап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әрі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қолдана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біледі;</w:t>
      </w:r>
    </w:p>
    <w:p w:rsidR="000176E9" w:rsidRPr="00A74600" w:rsidRDefault="000176E9" w:rsidP="000176E9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Өзіндік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мамандық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дамуын</w:t>
      </w:r>
      <w:r w:rsidR="00C47C8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болжамдап</w:t>
      </w:r>
      <w:r w:rsidR="00EB429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әрі</w:t>
      </w:r>
      <w:r w:rsidR="00EB429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жоспарлай</w:t>
      </w:r>
      <w:r w:rsidR="00EB429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біледі</w:t>
      </w:r>
      <w:r>
        <w:rPr>
          <w:rFonts w:eastAsia="Times New Roman"/>
          <w:color w:val="000000"/>
          <w:sz w:val="28"/>
          <w:szCs w:val="28"/>
          <w:lang w:val="kk-KZ" w:eastAsia="ru-RU"/>
        </w:rPr>
        <w:t>.</w:t>
      </w:r>
    </w:p>
    <w:p w:rsidR="000176E9" w:rsidRPr="00F64BF5" w:rsidRDefault="000176E9" w:rsidP="000176E9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kk-KZ" w:eastAsia="ru-RU"/>
        </w:rPr>
        <w:t>К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елесідағдылары бар:</w:t>
      </w:r>
    </w:p>
    <w:p w:rsidR="000176E9" w:rsidRPr="00F64BF5" w:rsidRDefault="000176E9" w:rsidP="000176E9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Сыниталдау, бағалау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әртүрлi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теориялар мен ойларды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салыстыру;</w:t>
      </w:r>
    </w:p>
    <w:p w:rsidR="000176E9" w:rsidRPr="00F64BF5" w:rsidRDefault="000176E9" w:rsidP="000176E9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Аналитикалық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эксперименталдi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қызмет;</w:t>
      </w:r>
    </w:p>
    <w:p w:rsidR="000176E9" w:rsidRPr="00F64BF5" w:rsidRDefault="000176E9" w:rsidP="000176E9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зерттеу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қорытындыларын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жоспарлап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болжамдап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біледі;</w:t>
      </w:r>
    </w:p>
    <w:p w:rsidR="000176E9" w:rsidRPr="00F64BF5" w:rsidRDefault="000176E9" w:rsidP="000176E9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зерттеулерді</w:t>
      </w:r>
      <w:r w:rsidR="00EB42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жоспарлап, үйлестіріп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жүзеге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асыры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лады;</w:t>
      </w:r>
    </w:p>
    <w:p w:rsidR="000176E9" w:rsidRPr="00F64BF5" w:rsidRDefault="000176E9" w:rsidP="000176E9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Зерттеудің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жүйелі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түсінудің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арқасында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таңдалған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әдістердің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сапалық</w:t>
      </w:r>
      <w:r w:rsidR="00EB2C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дәрежесі мен нәтижелігін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көрсете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алу;</w:t>
      </w:r>
    </w:p>
    <w:p w:rsidR="000176E9" w:rsidRPr="00F64BF5" w:rsidRDefault="000176E9" w:rsidP="000176E9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шаралар мен отандық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халықаралық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жобаларға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қатысу;</w:t>
      </w:r>
    </w:p>
    <w:p w:rsidR="000176E9" w:rsidRPr="00F64BF5" w:rsidRDefault="000176E9" w:rsidP="000176E9">
      <w:pPr>
        <w:pStyle w:val="a7"/>
        <w:numPr>
          <w:ilvl w:val="0"/>
          <w:numId w:val="4"/>
        </w:numPr>
        <w:shd w:val="clear" w:color="auto" w:fill="FFFFFF" w:themeFill="background1"/>
        <w:ind w:hanging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педагогикалық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іс-шараларға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жауапты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әрі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шығармашылық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бағытта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қарау;</w:t>
      </w:r>
    </w:p>
    <w:p w:rsidR="000176E9" w:rsidRPr="00F64BF5" w:rsidRDefault="000176E9" w:rsidP="000176E9">
      <w:pPr>
        <w:numPr>
          <w:ilvl w:val="0"/>
          <w:numId w:val="4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Заманауи</w:t>
      </w:r>
      <w:r w:rsidR="005A1D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ақпараттық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инновациялық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технологияларды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қолдана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отырып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патентті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іздеу</w:t>
      </w:r>
      <w:r w:rsidR="007F2F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жүргізу;</w:t>
      </w:r>
    </w:p>
    <w:p w:rsidR="000176E9" w:rsidRPr="00F64BF5" w:rsidRDefault="000176E9" w:rsidP="000176E9">
      <w:pPr>
        <w:numPr>
          <w:ilvl w:val="0"/>
          <w:numId w:val="4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жаңалықтарын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интеллектуалды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құқығын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қорғай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білу.</w:t>
      </w:r>
    </w:p>
    <w:p w:rsidR="000176E9" w:rsidRPr="00F64BF5" w:rsidRDefault="000176E9" w:rsidP="000176E9">
      <w:pPr>
        <w:shd w:val="clear" w:color="auto" w:fill="FFFFFF" w:themeFill="background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b/>
          <w:bCs/>
          <w:color w:val="000000"/>
          <w:sz w:val="28"/>
          <w:szCs w:val="28"/>
          <w:lang w:eastAsia="ru-RU"/>
        </w:rPr>
        <w:t>Биостатистика</w:t>
      </w:r>
    </w:p>
    <w:p w:rsidR="000176E9" w:rsidRPr="0088660F" w:rsidRDefault="000176E9" w:rsidP="000176E9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Өлшеу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теориясының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элем</w:t>
      </w:r>
      <w:r>
        <w:rPr>
          <w:rFonts w:eastAsia="Times New Roman"/>
          <w:color w:val="000000"/>
          <w:sz w:val="28"/>
          <w:szCs w:val="28"/>
          <w:lang w:eastAsia="ru-RU"/>
        </w:rPr>
        <w:t>енттерi. Өлшеулердің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шкалалары. Ықтимал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өзгертулер.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Агрегатталған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кешендi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бағалаулар. Статистикалық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жиынтықтар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салыстыру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әдiстері.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Корреляциялық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талдау.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Регрессиялық</w:t>
      </w:r>
      <w:r w:rsidR="00775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талдау.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Дисперсиялық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талдау.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Динамикалық</w:t>
      </w:r>
      <w:r w:rsidR="00775753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талдау</w:t>
      </w:r>
      <w:r w:rsidR="00775753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әдістері.</w:t>
      </w:r>
      <w:r w:rsidR="00775753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Параметрлiк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емес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критерилер. Компьютерлік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статистикалық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бағдарламаларды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қолдану.</w:t>
      </w:r>
    </w:p>
    <w:p w:rsidR="000176E9" w:rsidRPr="001D12C3" w:rsidRDefault="000176E9" w:rsidP="000176E9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Денсауық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диссертациялық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зерттеулер мен мақалаларда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пайдаланылған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статистикалық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әдістерді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 xml:space="preserve">талдау.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Халық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денсаулығының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статистикасы.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Денсалуық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жүйесінің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статистикасы. Қоғамдық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денсаулық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мәселелерін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талдау мен жоспарлау</w:t>
      </w:r>
      <w:r w:rsidR="00DD392C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үшін</w:t>
      </w:r>
      <w:r w:rsidR="00677268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статистикалық</w:t>
      </w:r>
      <w:r w:rsidR="00677268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әдістерді</w:t>
      </w:r>
      <w:r w:rsidR="00677268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қолдану. Денсаулық</w:t>
      </w:r>
      <w:r w:rsidR="00677268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677268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моделдеу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мүмкіндіктері.</w:t>
      </w:r>
    </w:p>
    <w:p w:rsidR="000176E9" w:rsidRPr="001D12C3" w:rsidRDefault="000176E9" w:rsidP="000176E9">
      <w:pPr>
        <w:shd w:val="clear" w:color="auto" w:fill="FFFFFF" w:themeFill="background1"/>
        <w:jc w:val="center"/>
        <w:rPr>
          <w:rFonts w:eastAsia="Times New Roman"/>
          <w:color w:val="000000"/>
          <w:sz w:val="28"/>
          <w:szCs w:val="28"/>
          <w:lang w:val="kk-KZ" w:eastAsia="ru-RU"/>
        </w:rPr>
      </w:pPr>
      <w:r w:rsidRPr="001D12C3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Ғылыми</w:t>
      </w:r>
      <w:r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зерттеулердiң</w:t>
      </w:r>
      <w:r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әдiснамасы</w:t>
      </w:r>
    </w:p>
    <w:p w:rsidR="000176E9" w:rsidRPr="001D12C3" w:rsidRDefault="000176E9" w:rsidP="000176E9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7912F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7912F1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ұстанымдары мен регламенттеуші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ережелері, халықаралық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ұлттық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стандарттар мен НҚА. Денсаулық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этикалық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реттеулерінің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ұстанымдары мен тәртіптері. Зерттеулердің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тақырыбы, мақсаты мен тапсырмаларын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қалыптастыру.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Қоғамдық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денсаулық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ерттеулердің дизайны мен әдіснамасы. Ақпарат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жинау. Деректерді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өңдеу.</w:t>
      </w:r>
    </w:p>
    <w:p w:rsidR="000176E9" w:rsidRPr="001D12C3" w:rsidRDefault="000176E9" w:rsidP="000176E9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Теориялық-эксперименталдық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талдауы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ғылыми-зерттеу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жұмыстары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бойынша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қорытынды қалыптаст</w:t>
      </w:r>
      <w:r>
        <w:rPr>
          <w:rFonts w:eastAsia="Times New Roman"/>
          <w:color w:val="000000"/>
          <w:sz w:val="28"/>
          <w:szCs w:val="28"/>
          <w:lang w:val="kk-KZ" w:eastAsia="ru-RU"/>
        </w:rPr>
        <w:t>ұ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 xml:space="preserve">ру мен есепдайындау.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жұмыстарына пікір беру мен сараптама. Ғылыми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деректерді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баспаға</w:t>
      </w:r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шыға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руға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дайындық. Ғылыми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4E133E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әдіснамалық</w:t>
      </w:r>
      <w:r w:rsidR="00761E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сапасы мен негізгі</w:t>
      </w:r>
      <w:r w:rsidR="00761E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қателік</w:t>
      </w:r>
      <w:r w:rsidR="00761E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түрлері.</w:t>
      </w:r>
    </w:p>
    <w:p w:rsidR="000176E9" w:rsidRPr="001D12C3" w:rsidRDefault="000176E9" w:rsidP="000176E9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</w:p>
    <w:p w:rsidR="000176E9" w:rsidRPr="001D12C3" w:rsidRDefault="000176E9" w:rsidP="000176E9">
      <w:pPr>
        <w:shd w:val="clear" w:color="auto" w:fill="FFFFFF" w:themeFill="background1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6D1101</w:t>
      </w:r>
      <w:r w:rsidRPr="001D12C3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00 —</w:t>
      </w:r>
      <w:r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Медицина </w:t>
      </w:r>
      <w:r w:rsidRPr="001D12C3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мамандығы бойынша кешендік емтихан сұрақтар тізбегі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Медициналық статистиканың анықтамасы, міндеттері және бөлімдері. Статистиканың медицинадағы өзектілігі.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Өлшеу теориясының элементтері. Деректер масштабы және түрлері. Сандық және сапалық айнымалылар:қалай бөлінеді, мысалдар.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Жалпы тұтастық және іріктеу. Іріктеудің өкілдік түсінігі.Іріктеуді қалыптастыру: қарапайым кездейсоқ іріктеу, стратифицирленген үлгі, топтық іріктеу.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Сипаттама статистика: орталық тенденциялар және өзгермелілік шаралары. Орта мәні, медиана, мода, ауытқу, дисперсия, стандартты ауытқу, вариация коэффициенті.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Вариационды сериялар туралы түсінік. Деректердің таралуы. Қалыпты бөлу: негізгі сипаттамалары.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Нормалауды тексеру: графикалық, сипаттама статистиканың көмегімен және статистикалық критерийді қолдану арқылы.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Жиынтық және кешенді бағалау: түсінігі, мысалдар.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Статистикалық гипотезаларды тексерудің параметрлік критерийлері: пайдалану шарттары, мысалдар, артықшылықтар мен кемшіліктер.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Статистикалық гипотезаларды тексерудің параметрлік емес критерийлері: пайдалану шарттары, мысалдар, артықшылықтар мен кемшіліктер.</w:t>
      </w:r>
    </w:p>
    <w:p w:rsidR="000176E9" w:rsidRPr="00FF15BB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rFonts w:eastAsia="Times New Roman"/>
          <w:color w:val="212121"/>
          <w:sz w:val="28"/>
          <w:szCs w:val="28"/>
          <w:lang w:val="kk-KZ"/>
        </w:rPr>
      </w:pPr>
      <w:r w:rsidRPr="00FF15BB">
        <w:rPr>
          <w:rFonts w:eastAsia="Times New Roman"/>
          <w:color w:val="212121"/>
          <w:sz w:val="28"/>
          <w:szCs w:val="28"/>
          <w:lang w:val="kk-KZ"/>
        </w:rPr>
        <w:t xml:space="preserve">Тәуелсіз зерттеу топтарын салыстыру: зерттеу дизайны және статистикалық өлшемдерді таңдау. 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>
        <w:rPr>
          <w:rFonts w:eastAsia="Times New Roman"/>
          <w:color w:val="212121"/>
          <w:sz w:val="28"/>
          <w:szCs w:val="28"/>
          <w:lang w:val="kk-KZ"/>
        </w:rPr>
        <w:t xml:space="preserve">Екі тәуелсіз зерттеу топтары </w:t>
      </w:r>
      <w:r w:rsidRPr="00B43AD3">
        <w:rPr>
          <w:sz w:val="28"/>
          <w:szCs w:val="28"/>
          <w:lang w:val="kk-KZ"/>
        </w:rPr>
        <w:t>үшін Стьюдент критерийі және Манн-Уитни критерийі: пайдалану шарттары, есептеу принципі.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Дисперсті анализ (One-Way ANOVA)  және Краскел-Уоллис критерийі: пайдалану шарттары, есептеу принципі. Орташа үш және одан да көп топтарды талдауда бірнеше салыстырулардың проблемалары.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Сандық деректердің жұптасқан топтарын салыстыру:зерттеу дизайны және статистикалық критерийді таңдау.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Жұптасқан таңдамалар үшін Стьюдент критерийі, жұптасқан бақылау үшін Вилкоксон критерийі: пайдалану шарттары, есептеу принципі.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Жұптасқан таңдамалар үшін дисперсті талдау, Фридман критерийі: пайдалану шарттары, есептеу принципі.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Корреляциондық анализ: қолданылуы, интерпретация күшіжəнеайнымалылар арасындағы байланыс бағыты, Кендалл, Спирмен жəне Пирсон корреляция коэффициенттері.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Бірфакторлы сызықтық регрессиондық анализ: қолданылуы, интерпретация, регрессия сызығыныңқұрылымы, сызықтық регрессия коэффициенті.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Сапалық айнымалыларды салыстыру: үлес туралы түсінік (жиілік), жиілікті (немесеүлесті) салыстырудың статистикалық əдістері, есептеу принципі.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Статистикалық қуат : түсінік, a жəне b қателіктері, үлгі өлшеміне тəуелділік.</w:t>
      </w:r>
    </w:p>
    <w:p w:rsidR="000176E9" w:rsidRPr="006C0C64" w:rsidRDefault="000176E9" w:rsidP="000176E9">
      <w:pPr>
        <w:pStyle w:val="a7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kk-KZ"/>
        </w:rPr>
      </w:pPr>
      <w:r w:rsidRPr="006C0C64">
        <w:rPr>
          <w:sz w:val="28"/>
          <w:szCs w:val="28"/>
          <w:lang w:val="kk-KZ"/>
        </w:rPr>
        <w:t>Нәтижелердің сенімділігін бағалау: нәтижелердің сенімділігі, жүйелі және кездейсоқ қателер, зерттеулердегі қателіктердің ықтималдығын азайту әдістері.</w:t>
      </w:r>
    </w:p>
    <w:p w:rsidR="000176E9" w:rsidRPr="00CA7536" w:rsidRDefault="000176E9" w:rsidP="000176E9">
      <w:pPr>
        <w:pStyle w:val="a7"/>
        <w:numPr>
          <w:ilvl w:val="0"/>
          <w:numId w:val="12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6C0C64">
        <w:rPr>
          <w:sz w:val="28"/>
          <w:szCs w:val="28"/>
          <w:lang w:val="kk-KZ"/>
        </w:rPr>
        <w:t>Зерттеу нәтижелерінің статистикалық маңыздылығы: тұжырымдама, р</w:t>
      </w:r>
      <w:r>
        <w:rPr>
          <w:sz w:val="28"/>
          <w:szCs w:val="28"/>
          <w:lang w:val="kk-KZ"/>
        </w:rPr>
        <w:t>-</w:t>
      </w:r>
      <w:r w:rsidRPr="005A1F78">
        <w:rPr>
          <w:sz w:val="28"/>
          <w:szCs w:val="28"/>
          <w:lang w:val="kk-KZ"/>
        </w:rPr>
        <w:t>value</w:t>
      </w:r>
      <w:r w:rsidRPr="006C0C64">
        <w:rPr>
          <w:sz w:val="28"/>
          <w:szCs w:val="28"/>
          <w:lang w:val="kk-KZ"/>
        </w:rPr>
        <w:t xml:space="preserve"> мәні. Нүктелік мәндер және сенімді интервал.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Мәліметтердің графикалық көрінісі: графиктерді құру үшін компьютерлік программаларды қолдану, пайдалануға мүмкіншіліктер, диаграмма түрлері.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Статистикалық деректерді өңдеу үшін компьютерлік бағдарламаларды қолдану: танымал бағдарламалар және пакеттер, компьютерлік статистикалық бағдарламаларды  пайдаланудың артықшылықтары мен кемшіліктері.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Экстенсивті және интенсивті шамалар: негізгі ұғымдары, есептеу тәсілі, мысалдар.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142"/>
          <w:tab w:val="left" w:pos="709"/>
        </w:tabs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Статистикадағы  стандарттау: қолданылуы, түрлері, есептеу әдістері.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142"/>
          <w:tab w:val="left" w:pos="709"/>
        </w:tabs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Медициналық жарияланымдар  мен диссертацияларда жиі қателіктер мәліметтерді сипаттауда, статистикалық өңдеулерде және нәтижелерді ұсынуларда кездеседі.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tabs>
          <w:tab w:val="left" w:pos="142"/>
          <w:tab w:val="left" w:pos="709"/>
        </w:tabs>
        <w:jc w:val="both"/>
        <w:rPr>
          <w:sz w:val="28"/>
          <w:szCs w:val="28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Аурулардың таралу көрсеткіштері: аурушаңдық, зақымдалу, екіншілік зақымдалу, преваленттілік (таралуы немесе аурушаңдық).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Салыстырмалы тәуекел мен мүмкіндіктер қатынасы: осы көрсеткіштерді пайдалану, есептеу принципі, түсіндіру.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Әлеуметтік құбылыстардың динамикасын зерттеудің статитистикалық әдістері: динамика сериясын, абсолютті өсуді, өсу қарқынын талдау.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Денсаулық сақтаудағы модельдеу мүмкіндіктері: модель тұжырымдамасы, модель түрлері.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Денсаулық сақтау саласындағы ғылыми зерттеулердің жіктелуі:  негіздер бойынша, зерттеу объектісі бойынша, байқау бірліктерін қамту бойынша, бақылау уақыты бойынша.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Халықаралық және ұлттық стандарттар ғылыми зерттеулердің қағидалары мен принциптерін реттейтін басқа ХТЖ: Хельсинкскілік декларациясы, Клиникалық тәжірибелерге тиісті стандарт(GCP), Адал жарияланымдық тәжірибеге арналған нұсқаулық(GPP) және т.б.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Денсаулық сақтау саласындағы зерттеулерді этикалық реттеу тәртібі мен принциптері.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Патенттік және патенттік ақпарат: негізгі түсініктер. Патенттік іздеуді жүргізу.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 ұйымдастыру: ғылыми зерттеулердің кезеңдері және олардың сипаттамалары.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жарияланымдардың сапасын бағалау: тәуелсіз сараптама жүргізу (сараптамалық шолу), нәтижелердің сенімділігін тексеру, ғылыми алаяқтықтың негізгі түрлері.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Тақырыпты қалыптастыру критерийлері, ғылыми зерттеулердің мақсаттары мен міндеттері.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зерттеулердің өзектілігі: ұғым, негіздеме.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зерттеулердің ғылыми жаңалығы: тұжырымдамасы, негіздемесі.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Байқаушы зерттеулер: жоспарлау мен іске асырудың негізгі принциптері, артықшылықтары мен кемшіліктері.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Эксперименттік зерттеулер: жоспарлау мен іске асырудың негізгі принциптері, артықшылықтары мен кемшіліктері.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зерттеулердің әдіснамалық сапасын бағалау: ішкі аудитті жоспарлау және жүргізу.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 жүргізудегі жүйелі және кездейсоқ қателер түрлері, оларды азайту тәсілдері</w:t>
      </w:r>
    </w:p>
    <w:p w:rsidR="000176E9" w:rsidRPr="00405286" w:rsidRDefault="000176E9" w:rsidP="000176E9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Экологиялық зерттеулер: жоспарлау мен іске асырудың негізгі принциптері, тиімділік, артықшылықтар мен кемшіліктерді бағалау шаралары.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Дәлелді медицина ұстанымынанғылымизерттеулердіңиерархиясы</w:t>
      </w:r>
    </w:p>
    <w:p w:rsidR="000176E9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lang w:val="kk-KZ"/>
        </w:rPr>
        <w:t>Ғылыми зерттеулерді зерттеу сатыларының сипаттамалары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Ғылымиматериалдардыбасылымғадайындау</w:t>
      </w:r>
      <w:r>
        <w:rPr>
          <w:color w:val="212121"/>
          <w:sz w:val="28"/>
          <w:szCs w:val="28"/>
          <w:shd w:val="clear" w:color="auto" w:fill="FFFFFF"/>
          <w:lang w:val="kk-KZ"/>
        </w:rPr>
        <w:t>. Ж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арияланымғақойылатынталаптар, «мүдделерқақтығысы» түсінігі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lang w:val="kk-KZ"/>
        </w:rPr>
        <w:t>Ғылыми зерттеулерді жобалау: анықтау,</w:t>
      </w:r>
      <w:r>
        <w:rPr>
          <w:color w:val="212121"/>
          <w:sz w:val="28"/>
          <w:szCs w:val="28"/>
          <w:lang w:val="kk-KZ"/>
        </w:rPr>
        <w:t xml:space="preserve"> іріктеу принциптері, жоспарлау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Ғылыми зерттеулердің элементтері: байқау бірлігі, объект, объект және зерттеу саласы.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Зерттеу жұмысына қорытынды жасау: негізгі тәсілдер мен принциптер.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 xml:space="preserve"> ҚР ҒБМ сәйкес ғылыми-зерттеу жұмыстары туралы есептерді тіркеу.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Когортты зерттеу: жоспарлау мен іске асырудың негізгі принциптері, әсерді бағалау шаралары, артықшылықтары мен кемшіліктері.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Іс-бақылауды зерттеу: жоспарлау мен іске асырудың негізгі қағидалары, эффектіні бағалау шаралары, артықшылықтары мен кемшіліктері.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Қиылшықтық зерттеу: жоспарлау мен іске асырудың негізгі принциптері, тиімділік, артықшылықтар мен кемшіліктерді бағалау шаралары.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«</w:t>
      </w:r>
      <w:r>
        <w:rPr>
          <w:color w:val="212121"/>
          <w:sz w:val="28"/>
          <w:szCs w:val="28"/>
          <w:shd w:val="clear" w:color="auto" w:fill="FFFFFF"/>
          <w:lang w:val="kk-KZ"/>
        </w:rPr>
        <w:t>Б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ірқатар кейстер» зерттеу: жоспарлау мен іске асырудың негізгі принциптері, артықшылықтары мен кемшіліктері.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sz w:val="28"/>
          <w:szCs w:val="28"/>
          <w:lang w:val="kk-KZ"/>
        </w:rPr>
        <w:t>Рандомизирленген бақылаулы зерттеу: жоспарлаудың және өткізудің негізгі принциптері, шаралар әсерін бағалау, артықшылықтары мен кемшіліктері.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Мета-талдау: түсінігі, ерекшеліктері, артықшылықтары мен кемшіліктері..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Жүйелі шолу: түсінігі, ерекшеліктері, артықшылықтары мен кемшіліктері.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Ғылыми дәлелдерді іздеу стратегиясы: ғылыми деректер базасы, іздеу  тактикасы, басылымдардың сыни талдауы</w:t>
      </w:r>
    </w:p>
    <w:p w:rsidR="000176E9" w:rsidRPr="00B43AD3" w:rsidRDefault="000176E9" w:rsidP="000176E9">
      <w:pPr>
        <w:pStyle w:val="a7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Ғылыми зерттеулердің жосықсыз тәжірибесі: ғылыми алаяқтықтың негізгі формалары, фабрикация, берілген зерттеулердің фальсификациясы, плагиат, зерттеу объектісіне этикалық емес қарым-қатынас, зерттеудегі авторлық үлестің бұрмаланған көрінісі.</w:t>
      </w:r>
    </w:p>
    <w:p w:rsidR="000176E9" w:rsidRDefault="000176E9" w:rsidP="000176E9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</w:p>
    <w:p w:rsidR="000176E9" w:rsidRPr="0088660F" w:rsidRDefault="000176E9" w:rsidP="000176E9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bookmarkStart w:id="1" w:name="result_box2"/>
      <w:bookmarkEnd w:id="1"/>
      <w:r w:rsidRPr="00F64BF5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Ұсынылған әдебиеттер тізімі:</w:t>
      </w:r>
    </w:p>
    <w:p w:rsidR="000176E9" w:rsidRPr="00CF54A8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F54A8">
        <w:rPr>
          <w:sz w:val="28"/>
          <w:szCs w:val="28"/>
        </w:rPr>
        <w:t xml:space="preserve">Аканов А., Мейманалиев Т., Тулебаев К. Здоровый образ жизни, факторы риска и состояния «чувствительные» к ПМСП и амбулаторной помощи, </w:t>
      </w:r>
      <w:r w:rsidRPr="00CF54A8">
        <w:rPr>
          <w:sz w:val="28"/>
          <w:szCs w:val="28"/>
          <w:lang w:val="en-US"/>
        </w:rPr>
        <w:t>whiterPaper</w:t>
      </w:r>
      <w:r w:rsidRPr="00CF54A8">
        <w:rPr>
          <w:sz w:val="28"/>
          <w:szCs w:val="28"/>
        </w:rPr>
        <w:t>. – Алматы, Эверо 2014 – 86с.</w:t>
      </w:r>
    </w:p>
    <w:p w:rsidR="000176E9" w:rsidRPr="00CF54A8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F54A8">
        <w:rPr>
          <w:sz w:val="28"/>
          <w:szCs w:val="28"/>
        </w:rPr>
        <w:t xml:space="preserve">Аканов А. </w:t>
      </w:r>
      <w:r w:rsidRPr="00CF54A8">
        <w:rPr>
          <w:sz w:val="28"/>
          <w:szCs w:val="28"/>
          <w:lang w:val="kk-KZ"/>
        </w:rPr>
        <w:t xml:space="preserve">Анализ мировых трендов и пригнозирование в сфере медецинской  науки Казахстана - </w:t>
      </w:r>
      <w:r w:rsidRPr="00CF54A8">
        <w:rPr>
          <w:sz w:val="28"/>
          <w:szCs w:val="28"/>
        </w:rPr>
        <w:t>Алматы, Эверо 2014</w:t>
      </w:r>
      <w:r w:rsidRPr="00CF54A8">
        <w:rPr>
          <w:sz w:val="28"/>
          <w:szCs w:val="28"/>
          <w:lang w:val="kk-KZ"/>
        </w:rPr>
        <w:t xml:space="preserve"> – 538с.</w:t>
      </w:r>
    </w:p>
    <w:p w:rsidR="000176E9" w:rsidRPr="00FB49D3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F54A8">
        <w:rPr>
          <w:sz w:val="28"/>
          <w:szCs w:val="28"/>
        </w:rPr>
        <w:t xml:space="preserve">Аканов А. </w:t>
      </w:r>
      <w:r w:rsidRPr="00CF54A8">
        <w:rPr>
          <w:sz w:val="28"/>
          <w:szCs w:val="28"/>
          <w:lang w:val="kk-KZ"/>
        </w:rPr>
        <w:t xml:space="preserve">Мировые тренды смертности от болезней системы кровообращения и рака(1950-2013) - </w:t>
      </w:r>
      <w:r w:rsidRPr="00CF54A8">
        <w:rPr>
          <w:sz w:val="28"/>
          <w:szCs w:val="28"/>
        </w:rPr>
        <w:t>Алматы, Эверо 2014г</w:t>
      </w:r>
      <w:r w:rsidRPr="00CF54A8">
        <w:rPr>
          <w:sz w:val="28"/>
          <w:szCs w:val="28"/>
          <w:lang w:val="kk-KZ"/>
        </w:rPr>
        <w:t>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Аканов А.А. Наука: роль и место в развитии общества, состояние, проблемы, перспективы. Актуальные вопросы ФЗОЖ, профилактика заболеваний и укрепления здоровья №1 (2004).</w:t>
      </w:r>
    </w:p>
    <w:p w:rsidR="000176E9" w:rsidRPr="00FB49D3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rFonts w:eastAsia="Times New Roman"/>
          <w:color w:val="000000"/>
          <w:sz w:val="28"/>
          <w:szCs w:val="28"/>
        </w:rPr>
        <w:t xml:space="preserve">Лисицын Ю.П., Полунина Н.В. Общественное здоровье и здравоохранение: Учебник. - М., 2012.- 416 с. </w:t>
      </w:r>
    </w:p>
    <w:p w:rsidR="000176E9" w:rsidRPr="00FB49D3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rFonts w:eastAsia="Times New Roman"/>
          <w:color w:val="000000"/>
          <w:sz w:val="28"/>
          <w:szCs w:val="28"/>
        </w:rPr>
        <w:t xml:space="preserve">Медик В.А., Юрьев В.К. Курс лекций по общественному здоровью и здравоохранении. - М.: Медицина, 2010 - в 3-х частях. </w:t>
      </w:r>
    </w:p>
    <w:p w:rsidR="000176E9" w:rsidRPr="00FB49D3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rFonts w:eastAsia="Times New Roman"/>
          <w:color w:val="000000"/>
          <w:sz w:val="28"/>
          <w:szCs w:val="28"/>
        </w:rPr>
        <w:t xml:space="preserve">Медик В.А., Токмачев М.С., Фишман Б.Б. Статистика в медицине и биологии. - М.: Медицина. – 2010г. в 2-х томах. 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Флетчер Р., Флетчер С., Вагнер Э. Клиническая эпидемиология. Основы доказательной медицины: Пер. с англ. /Под общ.ред. С.Е. Бащинского, С.Ю. Варшавского. – М.: Медиа Сфера, 2003. – 352с.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Кучеренко В.З. Применение методов статистического анализа для изучения общественного здоровья и здравоохранения. – Москва, ГЭОТАР-Медиа, 2007. – 244с.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Болдин А.П., Максимов В.А. Основы научных исследований. 2012г., Москва, Издательский центр Академия, 336с.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Андреенков В.Г., Маслова О.М. Методы сбора социологической информации: Метод.пособие. — М., 2005.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Руководство к практическим занятиям по общей эпидемиологии с основами доказательной медицины под редакцией В.И. Покровского, Н.И. Брико, 2012, PDF.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Власов А.В. Эпидемиология: учебное пособие /В.В.Власов.-2-е изд., испр.-М:ГЭОТАР-Медиа, 2006.- 464с.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Власов В. В. Введение в доказательную медицину. М: Медиасфера, 2010.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 xml:space="preserve">Власов В.В. Доказательная медицина и ее инструменты. Высшая медицинская школа России и Болонский процесс (доказательная медицина), Вып. </w:t>
      </w:r>
      <w:r w:rsidRPr="00FB49D3">
        <w:rPr>
          <w:sz w:val="28"/>
          <w:szCs w:val="28"/>
          <w:lang w:val="en-US"/>
        </w:rPr>
        <w:t>VII</w:t>
      </w:r>
      <w:r w:rsidRPr="00FB49D3">
        <w:rPr>
          <w:sz w:val="28"/>
          <w:szCs w:val="28"/>
        </w:rPr>
        <w:t>; М., 2010; с. 64-75.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  <w:lang w:val="en-US"/>
        </w:rPr>
        <w:t>Principles of Epidemiology in Public Health Practice. Third Edition. An Introduction to Applied Epidemiology and Biostatistics//October 2006.-Updated May, 2012.- U.S. Department of Health and Human Services Centers for Disease Control and Prevention (CDC), Office of Workforce and Career Development.- Atlanta</w:t>
      </w:r>
      <w:r w:rsidRPr="00FB49D3">
        <w:rPr>
          <w:sz w:val="28"/>
          <w:szCs w:val="28"/>
        </w:rPr>
        <w:t xml:space="preserve">, </w:t>
      </w:r>
      <w:r w:rsidRPr="00FB49D3">
        <w:rPr>
          <w:sz w:val="28"/>
          <w:szCs w:val="28"/>
          <w:lang w:val="en-US"/>
        </w:rPr>
        <w:t>GA</w:t>
      </w:r>
      <w:r w:rsidRPr="00FB49D3">
        <w:rPr>
          <w:sz w:val="28"/>
          <w:szCs w:val="28"/>
        </w:rPr>
        <w:t xml:space="preserve"> 30333.</w:t>
      </w:r>
    </w:p>
    <w:p w:rsidR="000176E9" w:rsidRPr="00FB49D3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color w:val="000000"/>
          <w:sz w:val="28"/>
          <w:szCs w:val="28"/>
        </w:rPr>
        <w:t>Гланц С. Медико-биологическая статистика / С. Гланц. – М.: Практика, 2011. – 459 с.</w:t>
      </w:r>
    </w:p>
    <w:p w:rsidR="000176E9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Гринхальд Т. Основы доказательной медицины. ГЭОТАР-Медиа, 2008.- 240</w:t>
      </w:r>
      <w:r w:rsidRPr="00FB49D3">
        <w:rPr>
          <w:sz w:val="28"/>
          <w:szCs w:val="28"/>
          <w:lang w:val="en-US"/>
        </w:rPr>
        <w:t>c</w:t>
      </w:r>
      <w:r w:rsidRPr="00FB49D3">
        <w:rPr>
          <w:sz w:val="28"/>
          <w:szCs w:val="28"/>
        </w:rPr>
        <w:t>.с</w:t>
      </w:r>
    </w:p>
    <w:p w:rsidR="000176E9" w:rsidRPr="00FB49D3" w:rsidRDefault="00AA4527" w:rsidP="000176E9">
      <w:pPr>
        <w:pStyle w:val="a7"/>
        <w:numPr>
          <w:ilvl w:val="0"/>
          <w:numId w:val="11"/>
        </w:numPr>
        <w:ind w:left="0" w:firstLine="0"/>
        <w:jc w:val="both"/>
        <w:rPr>
          <w:rStyle w:val="ab"/>
          <w:sz w:val="28"/>
          <w:szCs w:val="28"/>
        </w:rPr>
      </w:pPr>
      <w:hyperlink r:id="rId9" w:history="1">
        <w:r w:rsidR="000176E9" w:rsidRPr="00FB49D3">
          <w:rPr>
            <w:rStyle w:val="ab"/>
            <w:sz w:val="28"/>
            <w:szCs w:val="28"/>
            <w:lang w:val="en-US"/>
          </w:rPr>
          <w:t>https</w:t>
        </w:r>
        <w:r w:rsidR="000176E9" w:rsidRPr="00FB49D3">
          <w:rPr>
            <w:rStyle w:val="ab"/>
            <w:sz w:val="28"/>
            <w:szCs w:val="28"/>
          </w:rPr>
          <w:t>://</w:t>
        </w:r>
        <w:r w:rsidR="000176E9" w:rsidRPr="00FB49D3">
          <w:rPr>
            <w:rStyle w:val="ab"/>
            <w:sz w:val="28"/>
            <w:szCs w:val="28"/>
            <w:lang w:val="en-US"/>
          </w:rPr>
          <w:t>cebm</w:t>
        </w:r>
        <w:r w:rsidR="000176E9" w:rsidRPr="00FB49D3">
          <w:rPr>
            <w:rStyle w:val="ab"/>
            <w:sz w:val="28"/>
            <w:szCs w:val="28"/>
          </w:rPr>
          <w:t>.</w:t>
        </w:r>
        <w:r w:rsidR="000176E9" w:rsidRPr="00FB49D3">
          <w:rPr>
            <w:rStyle w:val="ab"/>
            <w:sz w:val="28"/>
            <w:szCs w:val="28"/>
            <w:lang w:val="en-US"/>
          </w:rPr>
          <w:t>net</w:t>
        </w:r>
      </w:hyperlink>
    </w:p>
    <w:p w:rsidR="000176E9" w:rsidRPr="00FB49D3" w:rsidRDefault="00AA4527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hyperlink r:id="rId10" w:history="1">
        <w:r w:rsidR="000176E9" w:rsidRPr="00FB49D3">
          <w:rPr>
            <w:rFonts w:eastAsia="Times New Roman"/>
            <w:sz w:val="28"/>
            <w:szCs w:val="28"/>
            <w:lang w:eastAsia="ru-RU"/>
          </w:rPr>
          <w:t>Долгушина Н. В.</w:t>
        </w:r>
      </w:hyperlink>
      <w:r w:rsidR="000176E9" w:rsidRPr="00FB49D3">
        <w:rPr>
          <w:rFonts w:eastAsia="Times New Roman"/>
          <w:sz w:val="28"/>
          <w:szCs w:val="28"/>
          <w:lang w:eastAsia="ru-RU"/>
        </w:rPr>
        <w:t xml:space="preserve">, </w:t>
      </w:r>
      <w:hyperlink r:id="rId11" w:history="1">
        <w:r w:rsidR="000176E9" w:rsidRPr="00FB49D3">
          <w:rPr>
            <w:rFonts w:eastAsia="Times New Roman"/>
            <w:sz w:val="28"/>
            <w:szCs w:val="28"/>
            <w:lang w:eastAsia="ru-RU"/>
          </w:rPr>
          <w:t>Грачев С. В.</w:t>
        </w:r>
      </w:hyperlink>
      <w:r w:rsidR="000176E9" w:rsidRPr="00FB49D3">
        <w:rPr>
          <w:rFonts w:eastAsia="Times New Roman"/>
          <w:sz w:val="28"/>
          <w:szCs w:val="28"/>
          <w:lang w:eastAsia="ru-RU"/>
        </w:rPr>
        <w:t xml:space="preserve">, </w:t>
      </w:r>
      <w:hyperlink r:id="rId12" w:history="1">
        <w:r w:rsidR="000176E9" w:rsidRPr="00FB49D3">
          <w:rPr>
            <w:rFonts w:eastAsia="Times New Roman"/>
            <w:sz w:val="28"/>
            <w:szCs w:val="28"/>
            <w:lang w:eastAsia="ru-RU"/>
          </w:rPr>
          <w:t>Воронов Д. А.</w:t>
        </w:r>
      </w:hyperlink>
      <w:r w:rsidR="000176E9" w:rsidRPr="00FB49D3">
        <w:rPr>
          <w:sz w:val="28"/>
          <w:szCs w:val="28"/>
        </w:rPr>
        <w:t xml:space="preserve"> Методология научных исследований в клинической медицине. </w:t>
      </w:r>
      <w:hyperlink r:id="rId13" w:history="1">
        <w:r w:rsidR="000176E9" w:rsidRPr="00FB49D3">
          <w:rPr>
            <w:rFonts w:eastAsia="Times New Roman"/>
            <w:sz w:val="28"/>
            <w:szCs w:val="28"/>
            <w:lang w:eastAsia="ru-RU"/>
          </w:rPr>
          <w:t>ГЭОТАР-Медиа</w:t>
        </w:r>
      </w:hyperlink>
      <w:r w:rsidR="000176E9" w:rsidRPr="00FB49D3">
        <w:rPr>
          <w:rFonts w:eastAsia="Times New Roman"/>
          <w:sz w:val="28"/>
          <w:szCs w:val="28"/>
          <w:lang w:eastAsia="ru-RU"/>
        </w:rPr>
        <w:t>, 2016 г</w:t>
      </w:r>
    </w:p>
    <w:p w:rsidR="000176E9" w:rsidRPr="00B40BAE" w:rsidRDefault="000176E9" w:rsidP="000176E9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  <w:lang w:val="en-US"/>
        </w:rPr>
      </w:pPr>
      <w:r w:rsidRPr="00FB49D3">
        <w:rPr>
          <w:rFonts w:eastAsia="Times New Roman"/>
          <w:bCs/>
          <w:kern w:val="36"/>
          <w:sz w:val="28"/>
          <w:szCs w:val="28"/>
          <w:lang w:val="en-US" w:eastAsia="ru-RU"/>
        </w:rPr>
        <w:t xml:space="preserve">Principles of Research Methodology. </w:t>
      </w:r>
      <w:r w:rsidRPr="00FB49D3">
        <w:rPr>
          <w:rFonts w:eastAsia="Times New Roman"/>
          <w:bCs/>
          <w:sz w:val="28"/>
          <w:szCs w:val="28"/>
          <w:lang w:val="en-US" w:eastAsia="ru-RU"/>
        </w:rPr>
        <w:t xml:space="preserve">A Guide for Clinical Investigators.-2011 </w:t>
      </w:r>
      <w:r w:rsidRPr="00FB49D3">
        <w:rPr>
          <w:rFonts w:eastAsia="Times New Roman"/>
          <w:bCs/>
          <w:sz w:val="28"/>
          <w:szCs w:val="28"/>
          <w:lang w:eastAsia="ru-RU"/>
        </w:rPr>
        <w:t>г</w:t>
      </w:r>
      <w:r w:rsidRPr="00FB49D3">
        <w:rPr>
          <w:rFonts w:eastAsia="Times New Roman"/>
          <w:bCs/>
          <w:sz w:val="28"/>
          <w:szCs w:val="28"/>
          <w:lang w:val="en-US" w:eastAsia="ru-RU"/>
        </w:rPr>
        <w:t xml:space="preserve">.- </w:t>
      </w:r>
      <w:r w:rsidRPr="00FB49D3">
        <w:rPr>
          <w:rFonts w:eastAsia="Times New Roman"/>
          <w:bCs/>
          <w:sz w:val="28"/>
          <w:szCs w:val="28"/>
          <w:lang w:eastAsia="ru-RU"/>
        </w:rPr>
        <w:t>доступнонасайте</w:t>
      </w:r>
      <w:r w:rsidRPr="00FB49D3">
        <w:rPr>
          <w:sz w:val="28"/>
          <w:szCs w:val="28"/>
          <w:lang w:val="en-US"/>
        </w:rPr>
        <w:t>https://www.springer.com/us/book/9781461433590</w:t>
      </w:r>
    </w:p>
    <w:p w:rsidR="000176E9" w:rsidRPr="007763DC" w:rsidRDefault="000176E9" w:rsidP="000176E9">
      <w:pPr>
        <w:shd w:val="clear" w:color="auto" w:fill="FFFFFF" w:themeFill="background1"/>
        <w:jc w:val="both"/>
        <w:rPr>
          <w:szCs w:val="24"/>
          <w:lang w:val="en-US"/>
        </w:rPr>
      </w:pPr>
    </w:p>
    <w:sectPr w:rsidR="000176E9" w:rsidRPr="007763DC" w:rsidSect="004649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566" w:bottom="567" w:left="1276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27" w:rsidRDefault="00AA4527" w:rsidP="00AF56B3">
      <w:r>
        <w:separator/>
      </w:r>
    </w:p>
  </w:endnote>
  <w:endnote w:type="continuationSeparator" w:id="0">
    <w:p w:rsidR="00AA4527" w:rsidRDefault="00AA4527" w:rsidP="00AF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73" w:rsidRDefault="004A30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DC" w:rsidRPr="00597C0C" w:rsidRDefault="00F313DC" w:rsidP="00597C0C">
    <w:pPr>
      <w:pStyle w:val="a5"/>
      <w:ind w:left="3252" w:firstLine="3828"/>
      <w:jc w:val="right"/>
    </w:pPr>
  </w:p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F313DC" w:rsidRPr="008B31C1" w:rsidTr="00F313DC">
      <w:trPr>
        <w:trHeight w:val="400"/>
      </w:trPr>
      <w:tc>
        <w:tcPr>
          <w:tcW w:w="2235" w:type="dxa"/>
        </w:tcPr>
        <w:p w:rsidR="00F313DC" w:rsidRPr="008B31C1" w:rsidRDefault="00F313DC" w:rsidP="00F313DC">
          <w:pPr>
            <w:pStyle w:val="a5"/>
            <w:rPr>
              <w:sz w:val="8"/>
              <w:szCs w:val="17"/>
            </w:rPr>
          </w:pPr>
        </w:p>
        <w:p w:rsidR="00F313DC" w:rsidRPr="008B31C1" w:rsidRDefault="00F313DC" w:rsidP="00F313DC">
          <w:pPr>
            <w:pStyle w:val="a5"/>
            <w:rPr>
              <w:sz w:val="17"/>
              <w:szCs w:val="17"/>
            </w:rPr>
          </w:pPr>
          <w:r w:rsidRPr="008B31C1">
            <w:rPr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F313DC" w:rsidRDefault="00994F74" w:rsidP="00F313DC">
          <w:pPr>
            <w:jc w:val="center"/>
            <w:rPr>
              <w:sz w:val="17"/>
              <w:szCs w:val="17"/>
              <w:lang w:val="kk-KZ"/>
            </w:rPr>
          </w:pPr>
          <w:r>
            <w:rPr>
              <w:rFonts w:eastAsia="Times New Roman"/>
              <w:bCs/>
              <w:color w:val="000000"/>
              <w:sz w:val="17"/>
              <w:szCs w:val="17"/>
              <w:lang w:val="kk-KZ" w:eastAsia="ru-RU"/>
            </w:rPr>
            <w:t>МКА б</w:t>
          </w:r>
          <w:r w:rsidR="00F313DC">
            <w:rPr>
              <w:rFonts w:eastAsia="Times New Roman"/>
              <w:bCs/>
              <w:color w:val="000000"/>
              <w:sz w:val="17"/>
              <w:szCs w:val="17"/>
              <w:lang w:val="kk-KZ" w:eastAsia="ru-RU"/>
            </w:rPr>
            <w:t>ағдарлама</w:t>
          </w:r>
          <w:r>
            <w:rPr>
              <w:rFonts w:eastAsia="Times New Roman"/>
              <w:bCs/>
              <w:color w:val="000000"/>
              <w:sz w:val="17"/>
              <w:szCs w:val="17"/>
              <w:lang w:val="kk-KZ" w:eastAsia="ru-RU"/>
            </w:rPr>
            <w:t>сы</w:t>
          </w:r>
        </w:p>
        <w:p w:rsidR="00F313DC" w:rsidRPr="008B31C1" w:rsidRDefault="008F4340" w:rsidP="00A31137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Жоғары білім жетілдіру бөлімі </w:t>
          </w:r>
          <w:r w:rsidRPr="008F4340">
            <w:rPr>
              <w:sz w:val="17"/>
              <w:szCs w:val="17"/>
            </w:rPr>
            <w:t>(</w:t>
          </w:r>
          <w:r w:rsidR="004A3073">
            <w:rPr>
              <w:sz w:val="17"/>
              <w:szCs w:val="17"/>
              <w:lang w:val="en-US"/>
            </w:rPr>
            <w:t>PhD</w:t>
          </w:r>
          <w:r>
            <w:rPr>
              <w:sz w:val="17"/>
              <w:szCs w:val="17"/>
            </w:rPr>
            <w:t xml:space="preserve"> докторантура мен магистратура)</w:t>
          </w:r>
          <w:r w:rsidR="004A3073" w:rsidRPr="008F4340">
            <w:rPr>
              <w:sz w:val="17"/>
              <w:szCs w:val="17"/>
            </w:rPr>
            <w:t xml:space="preserve"> </w:t>
          </w:r>
          <w:r w:rsidR="00F313DC">
            <w:rPr>
              <w:sz w:val="17"/>
              <w:szCs w:val="17"/>
              <w:lang w:val="kk-KZ"/>
            </w:rPr>
            <w:t xml:space="preserve"> </w:t>
          </w:r>
        </w:p>
      </w:tc>
      <w:tc>
        <w:tcPr>
          <w:tcW w:w="2126" w:type="dxa"/>
        </w:tcPr>
        <w:p w:rsidR="00F313DC" w:rsidRPr="008B31C1" w:rsidRDefault="00F313DC" w:rsidP="00F313DC">
          <w:pPr>
            <w:pStyle w:val="a5"/>
            <w:jc w:val="center"/>
            <w:rPr>
              <w:sz w:val="8"/>
              <w:szCs w:val="17"/>
              <w:lang w:val="kk-KZ"/>
            </w:rPr>
          </w:pPr>
        </w:p>
        <w:p w:rsidR="00F313DC" w:rsidRPr="008B31C1" w:rsidRDefault="00AA4527" w:rsidP="00A31137">
          <w:pPr>
            <w:pStyle w:val="a5"/>
            <w:jc w:val="center"/>
            <w:rPr>
              <w:sz w:val="17"/>
              <w:szCs w:val="17"/>
              <w:lang w:val="en-US"/>
            </w:rPr>
          </w:pP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8B6A1E" w:rsidRPr="008B6A1E">
            <w:rPr>
              <w:noProof/>
              <w:sz w:val="17"/>
              <w:szCs w:val="17"/>
              <w:lang w:val="en-US"/>
            </w:rPr>
            <w:t>2</w:t>
          </w:r>
          <w:r>
            <w:rPr>
              <w:noProof/>
              <w:sz w:val="17"/>
              <w:szCs w:val="17"/>
              <w:lang w:val="en-US"/>
            </w:rPr>
            <w:fldChar w:fldCharType="end"/>
          </w:r>
          <w:r w:rsidR="00F313DC">
            <w:rPr>
              <w:sz w:val="17"/>
              <w:szCs w:val="17"/>
              <w:lang w:val="kk-KZ"/>
            </w:rPr>
            <w:t xml:space="preserve"> беттің </w:t>
          </w:r>
          <w:r w:rsidR="00707F1D" w:rsidRPr="004B5371">
            <w:rPr>
              <w:sz w:val="17"/>
              <w:szCs w:val="17"/>
              <w:lang w:val="en-US"/>
            </w:rPr>
            <w:fldChar w:fldCharType="begin"/>
          </w:r>
          <w:r w:rsidR="00F313DC" w:rsidRPr="004B5371">
            <w:rPr>
              <w:sz w:val="17"/>
              <w:szCs w:val="17"/>
              <w:lang w:val="en-US"/>
            </w:rPr>
            <w:instrText>PAGE  \* Arabic  \* MERGEFORMAT</w:instrText>
          </w:r>
          <w:r w:rsidR="00707F1D" w:rsidRPr="004B5371">
            <w:rPr>
              <w:sz w:val="17"/>
              <w:szCs w:val="17"/>
              <w:lang w:val="en-US"/>
            </w:rPr>
            <w:fldChar w:fldCharType="separate"/>
          </w:r>
          <w:r w:rsidR="008B6A1E">
            <w:rPr>
              <w:noProof/>
              <w:sz w:val="17"/>
              <w:szCs w:val="17"/>
              <w:lang w:val="en-US"/>
            </w:rPr>
            <w:t>2</w:t>
          </w:r>
          <w:r w:rsidR="00707F1D" w:rsidRPr="004B5371">
            <w:rPr>
              <w:sz w:val="17"/>
              <w:szCs w:val="17"/>
              <w:lang w:val="en-US"/>
            </w:rPr>
            <w:fldChar w:fldCharType="end"/>
          </w:r>
          <w:r w:rsidR="00F313DC">
            <w:rPr>
              <w:sz w:val="17"/>
              <w:szCs w:val="17"/>
              <w:lang w:val="kk-KZ"/>
            </w:rPr>
            <w:t>беті</w:t>
          </w:r>
        </w:p>
      </w:tc>
    </w:tr>
  </w:tbl>
  <w:p w:rsidR="00F313DC" w:rsidRDefault="00F313DC" w:rsidP="00A311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73" w:rsidRDefault="004A3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27" w:rsidRDefault="00AA4527" w:rsidP="00AF56B3">
      <w:r>
        <w:separator/>
      </w:r>
    </w:p>
  </w:footnote>
  <w:footnote w:type="continuationSeparator" w:id="0">
    <w:p w:rsidR="00AA4527" w:rsidRDefault="00AA4527" w:rsidP="00AF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73" w:rsidRDefault="004A30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F313DC" w:rsidRPr="00330CD8" w:rsidTr="00F313DC">
      <w:trPr>
        <w:trHeight w:val="1247"/>
      </w:trPr>
      <w:tc>
        <w:tcPr>
          <w:tcW w:w="4361" w:type="dxa"/>
          <w:tcBorders>
            <w:right w:val="nil"/>
          </w:tcBorders>
        </w:tcPr>
        <w:p w:rsidR="00F313DC" w:rsidRDefault="00F313DC" w:rsidP="00F313DC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313DC" w:rsidRDefault="00F313DC" w:rsidP="00F313DC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313DC" w:rsidRPr="003A4C67" w:rsidRDefault="00F313DC" w:rsidP="00F313DC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313DC" w:rsidRPr="00C81B40" w:rsidRDefault="00F313DC" w:rsidP="00F313DC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F313DC" w:rsidRPr="00BB3D88" w:rsidRDefault="00F313DC" w:rsidP="00F313DC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F313DC" w:rsidRPr="00BB3D88" w:rsidRDefault="00F313DC" w:rsidP="00F313D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F313DC" w:rsidRPr="005B0AE9" w:rsidRDefault="00F313DC" w:rsidP="00F313DC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F313DC" w:rsidRPr="00262253" w:rsidRDefault="00F313DC" w:rsidP="00F313DC">
          <w:pPr>
            <w:ind w:left="720"/>
            <w:contextualSpacing/>
            <w:rPr>
              <w:b/>
              <w:sz w:val="14"/>
              <w:szCs w:val="14"/>
            </w:rPr>
          </w:pPr>
        </w:p>
        <w:p w:rsidR="00F313DC" w:rsidRPr="00262253" w:rsidRDefault="00F313DC" w:rsidP="00F313D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4" name="Рисунок 4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313DC" w:rsidRPr="00A43F50" w:rsidRDefault="00F313DC" w:rsidP="00F313D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F313DC" w:rsidRPr="00644365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313DC" w:rsidRPr="00C81B40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F313DC" w:rsidRPr="00C81B40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F313DC" w:rsidRPr="00644365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313DC" w:rsidRPr="003A4C67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F313DC" w:rsidRDefault="00F313DC" w:rsidP="00F313D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F313DC" w:rsidRPr="00644365" w:rsidRDefault="00F313DC" w:rsidP="00F313DC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F313DC" w:rsidRDefault="00F31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F313DC" w:rsidRPr="00330CD8" w:rsidTr="00F313DC">
      <w:trPr>
        <w:trHeight w:val="1247"/>
      </w:trPr>
      <w:tc>
        <w:tcPr>
          <w:tcW w:w="4361" w:type="dxa"/>
          <w:tcBorders>
            <w:right w:val="nil"/>
          </w:tcBorders>
        </w:tcPr>
        <w:p w:rsidR="00F313DC" w:rsidRDefault="00F313DC" w:rsidP="00F313DC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313DC" w:rsidRDefault="00F313DC" w:rsidP="00F313DC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313DC" w:rsidRPr="003A4C67" w:rsidRDefault="00F313DC" w:rsidP="00F313DC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313DC" w:rsidRPr="00C81B40" w:rsidRDefault="00F313DC" w:rsidP="00F313DC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F313DC" w:rsidRPr="00BB3D88" w:rsidRDefault="00F313DC" w:rsidP="00F313DC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F313DC" w:rsidRPr="00BB3D88" w:rsidRDefault="00F313DC" w:rsidP="00F313D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F313DC" w:rsidRPr="005B0AE9" w:rsidRDefault="00F313DC" w:rsidP="00F313DC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F313DC" w:rsidRPr="00262253" w:rsidRDefault="00F313DC" w:rsidP="00F313DC">
          <w:pPr>
            <w:ind w:left="720"/>
            <w:contextualSpacing/>
            <w:rPr>
              <w:b/>
              <w:sz w:val="14"/>
              <w:szCs w:val="14"/>
            </w:rPr>
          </w:pPr>
        </w:p>
        <w:p w:rsidR="00F313DC" w:rsidRPr="00262253" w:rsidRDefault="00F313DC" w:rsidP="00F313D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2" name="Рисунок 2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313DC" w:rsidRPr="00A43F50" w:rsidRDefault="00F313DC" w:rsidP="00F313D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F313DC" w:rsidRPr="00644365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313DC" w:rsidRPr="00C81B40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F313DC" w:rsidRPr="00C81B40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F313DC" w:rsidRPr="00644365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313DC" w:rsidRPr="003A4C67" w:rsidRDefault="00F313DC" w:rsidP="00F313D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F313DC" w:rsidRDefault="00F313DC" w:rsidP="00F313D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F313DC" w:rsidRPr="00644365" w:rsidRDefault="00F313DC" w:rsidP="00F313DC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F313DC" w:rsidRPr="00597C0C" w:rsidRDefault="00F313DC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CF1"/>
    <w:multiLevelType w:val="multilevel"/>
    <w:tmpl w:val="C7F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6F32"/>
    <w:multiLevelType w:val="hybridMultilevel"/>
    <w:tmpl w:val="606EC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A014D"/>
    <w:multiLevelType w:val="hybridMultilevel"/>
    <w:tmpl w:val="80F24B5E"/>
    <w:lvl w:ilvl="0" w:tplc="713472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76F"/>
    <w:multiLevelType w:val="multilevel"/>
    <w:tmpl w:val="564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3527"/>
    <w:multiLevelType w:val="multilevel"/>
    <w:tmpl w:val="A914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406F4"/>
    <w:multiLevelType w:val="multilevel"/>
    <w:tmpl w:val="D08A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F5798"/>
    <w:multiLevelType w:val="multilevel"/>
    <w:tmpl w:val="4F7A4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4471F"/>
    <w:multiLevelType w:val="hybridMultilevel"/>
    <w:tmpl w:val="4C6C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DF1"/>
    <w:multiLevelType w:val="multilevel"/>
    <w:tmpl w:val="AD1E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36F2E"/>
    <w:multiLevelType w:val="multilevel"/>
    <w:tmpl w:val="1D50E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C237D"/>
    <w:multiLevelType w:val="multilevel"/>
    <w:tmpl w:val="543C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817C1"/>
    <w:multiLevelType w:val="hybridMultilevel"/>
    <w:tmpl w:val="EDB4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A1"/>
    <w:rsid w:val="0001437B"/>
    <w:rsid w:val="000176E9"/>
    <w:rsid w:val="0002526C"/>
    <w:rsid w:val="000500EC"/>
    <w:rsid w:val="00072C5B"/>
    <w:rsid w:val="000E7FCF"/>
    <w:rsid w:val="00120E5E"/>
    <w:rsid w:val="001256BD"/>
    <w:rsid w:val="00167B65"/>
    <w:rsid w:val="001C130F"/>
    <w:rsid w:val="001D687A"/>
    <w:rsid w:val="001F11EF"/>
    <w:rsid w:val="00221341"/>
    <w:rsid w:val="00253254"/>
    <w:rsid w:val="002D6C57"/>
    <w:rsid w:val="002E1D0A"/>
    <w:rsid w:val="002F24A1"/>
    <w:rsid w:val="0030730D"/>
    <w:rsid w:val="0031196A"/>
    <w:rsid w:val="003211AF"/>
    <w:rsid w:val="003470C1"/>
    <w:rsid w:val="00355C9E"/>
    <w:rsid w:val="00356A32"/>
    <w:rsid w:val="00356C6B"/>
    <w:rsid w:val="00372824"/>
    <w:rsid w:val="0038479A"/>
    <w:rsid w:val="003C66F6"/>
    <w:rsid w:val="003E2621"/>
    <w:rsid w:val="003F2EE1"/>
    <w:rsid w:val="00421319"/>
    <w:rsid w:val="004242AA"/>
    <w:rsid w:val="00425C98"/>
    <w:rsid w:val="00430952"/>
    <w:rsid w:val="004464F4"/>
    <w:rsid w:val="00447040"/>
    <w:rsid w:val="00460445"/>
    <w:rsid w:val="00464917"/>
    <w:rsid w:val="00484977"/>
    <w:rsid w:val="004A0232"/>
    <w:rsid w:val="004A3073"/>
    <w:rsid w:val="004A7F3C"/>
    <w:rsid w:val="004D1DAB"/>
    <w:rsid w:val="004E133E"/>
    <w:rsid w:val="004E629A"/>
    <w:rsid w:val="004F45B1"/>
    <w:rsid w:val="005051D6"/>
    <w:rsid w:val="00516B21"/>
    <w:rsid w:val="00524800"/>
    <w:rsid w:val="00597C0C"/>
    <w:rsid w:val="005A1D87"/>
    <w:rsid w:val="005B2026"/>
    <w:rsid w:val="005D1D3E"/>
    <w:rsid w:val="0060718E"/>
    <w:rsid w:val="00615751"/>
    <w:rsid w:val="00627E45"/>
    <w:rsid w:val="006401B9"/>
    <w:rsid w:val="00672546"/>
    <w:rsid w:val="00677268"/>
    <w:rsid w:val="00694C21"/>
    <w:rsid w:val="006A2A2F"/>
    <w:rsid w:val="006E5C7E"/>
    <w:rsid w:val="00701B7C"/>
    <w:rsid w:val="00706D80"/>
    <w:rsid w:val="00707F1D"/>
    <w:rsid w:val="00730A32"/>
    <w:rsid w:val="00757FDE"/>
    <w:rsid w:val="00760716"/>
    <w:rsid w:val="00761E47"/>
    <w:rsid w:val="00765553"/>
    <w:rsid w:val="00775753"/>
    <w:rsid w:val="007912F1"/>
    <w:rsid w:val="007B0EB3"/>
    <w:rsid w:val="007B1327"/>
    <w:rsid w:val="007D5497"/>
    <w:rsid w:val="007F2F13"/>
    <w:rsid w:val="00800C1C"/>
    <w:rsid w:val="00822781"/>
    <w:rsid w:val="00827AA3"/>
    <w:rsid w:val="00834DC6"/>
    <w:rsid w:val="00841B52"/>
    <w:rsid w:val="00877A54"/>
    <w:rsid w:val="008A201F"/>
    <w:rsid w:val="008B6A1E"/>
    <w:rsid w:val="008D4AE2"/>
    <w:rsid w:val="008E7B89"/>
    <w:rsid w:val="008F4340"/>
    <w:rsid w:val="00906E47"/>
    <w:rsid w:val="00927CF9"/>
    <w:rsid w:val="00927E8B"/>
    <w:rsid w:val="00931B39"/>
    <w:rsid w:val="009525A2"/>
    <w:rsid w:val="00961A87"/>
    <w:rsid w:val="00990684"/>
    <w:rsid w:val="00994F74"/>
    <w:rsid w:val="009962C0"/>
    <w:rsid w:val="009E6433"/>
    <w:rsid w:val="00A0378E"/>
    <w:rsid w:val="00A31137"/>
    <w:rsid w:val="00A72AEA"/>
    <w:rsid w:val="00A74D61"/>
    <w:rsid w:val="00A92802"/>
    <w:rsid w:val="00AA4527"/>
    <w:rsid w:val="00AE4ABE"/>
    <w:rsid w:val="00AF35A3"/>
    <w:rsid w:val="00AF56B3"/>
    <w:rsid w:val="00B304A1"/>
    <w:rsid w:val="00B42A9F"/>
    <w:rsid w:val="00B6709D"/>
    <w:rsid w:val="00B677E3"/>
    <w:rsid w:val="00B90050"/>
    <w:rsid w:val="00BA5740"/>
    <w:rsid w:val="00BB7FB2"/>
    <w:rsid w:val="00BC31A7"/>
    <w:rsid w:val="00BD0EB7"/>
    <w:rsid w:val="00BD16E1"/>
    <w:rsid w:val="00BF2852"/>
    <w:rsid w:val="00C15282"/>
    <w:rsid w:val="00C47C81"/>
    <w:rsid w:val="00CA3B8B"/>
    <w:rsid w:val="00CA6E96"/>
    <w:rsid w:val="00CC2B1D"/>
    <w:rsid w:val="00CE398E"/>
    <w:rsid w:val="00CF629D"/>
    <w:rsid w:val="00D00CCE"/>
    <w:rsid w:val="00D20515"/>
    <w:rsid w:val="00D240E9"/>
    <w:rsid w:val="00D766E5"/>
    <w:rsid w:val="00D84EE0"/>
    <w:rsid w:val="00DA49AA"/>
    <w:rsid w:val="00DA69EE"/>
    <w:rsid w:val="00DD07B9"/>
    <w:rsid w:val="00DD392C"/>
    <w:rsid w:val="00DD557A"/>
    <w:rsid w:val="00E235AA"/>
    <w:rsid w:val="00E34E74"/>
    <w:rsid w:val="00E41875"/>
    <w:rsid w:val="00E57E19"/>
    <w:rsid w:val="00E72DF6"/>
    <w:rsid w:val="00E973F7"/>
    <w:rsid w:val="00EB1A6D"/>
    <w:rsid w:val="00EB2C5A"/>
    <w:rsid w:val="00EB4299"/>
    <w:rsid w:val="00EB7B24"/>
    <w:rsid w:val="00EC4740"/>
    <w:rsid w:val="00EC7503"/>
    <w:rsid w:val="00EE0949"/>
    <w:rsid w:val="00F06304"/>
    <w:rsid w:val="00F313DC"/>
    <w:rsid w:val="00F64BF5"/>
    <w:rsid w:val="00F9347B"/>
    <w:rsid w:val="00FA3032"/>
    <w:rsid w:val="00FC12C4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709D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6B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6B3"/>
  </w:style>
  <w:style w:type="paragraph" w:styleId="a5">
    <w:name w:val="footer"/>
    <w:basedOn w:val="a"/>
    <w:link w:val="a6"/>
    <w:uiPriority w:val="99"/>
    <w:unhideWhenUsed/>
    <w:rsid w:val="00AF56B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6B3"/>
  </w:style>
  <w:style w:type="paragraph" w:styleId="a7">
    <w:name w:val="List Paragraph"/>
    <w:basedOn w:val="a"/>
    <w:uiPriority w:val="34"/>
    <w:qFormat/>
    <w:rsid w:val="00AF56B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6709D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F1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1E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2802"/>
    <w:rPr>
      <w:rFonts w:asciiTheme="minorHAnsi" w:hAnsiTheme="minorHAnsi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017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76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176E9"/>
    <w:rPr>
      <w:color w:val="0000FF"/>
      <w:u w:val="single"/>
    </w:rPr>
  </w:style>
  <w:style w:type="character" w:customStyle="1" w:styleId="ac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017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709D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6B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6B3"/>
  </w:style>
  <w:style w:type="paragraph" w:styleId="a5">
    <w:name w:val="footer"/>
    <w:basedOn w:val="a"/>
    <w:link w:val="a6"/>
    <w:uiPriority w:val="99"/>
    <w:unhideWhenUsed/>
    <w:rsid w:val="00AF56B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6B3"/>
  </w:style>
  <w:style w:type="paragraph" w:styleId="a7">
    <w:name w:val="List Paragraph"/>
    <w:basedOn w:val="a"/>
    <w:uiPriority w:val="34"/>
    <w:qFormat/>
    <w:rsid w:val="00AF56B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6709D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F1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1E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2802"/>
    <w:rPr>
      <w:rFonts w:asciiTheme="minorHAnsi" w:hAnsiTheme="minorHAnsi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017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76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176E9"/>
    <w:rPr>
      <w:color w:val="0000FF"/>
      <w:u w:val="single"/>
    </w:rPr>
  </w:style>
  <w:style w:type="character" w:customStyle="1" w:styleId="ac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01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birint.ru/pubhouse/1815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abirint.ru/authors/175753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17575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labirint.ru/authors/175751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cebm.ne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DB91-2174-45A8-84A4-8897A80B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2017-04-20T03:55:00Z</cp:lastPrinted>
  <dcterms:created xsi:type="dcterms:W3CDTF">2018-05-05T06:59:00Z</dcterms:created>
  <dcterms:modified xsi:type="dcterms:W3CDTF">2018-05-05T06:59:00Z</dcterms:modified>
</cp:coreProperties>
</file>