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A3" w:rsidRPr="001B3D0D" w:rsidRDefault="00E4730C" w:rsidP="007950A3">
      <w:pPr>
        <w:spacing w:line="0" w:lineRule="atLeast"/>
        <w:ind w:right="-313"/>
        <w:jc w:val="center"/>
        <w:rPr>
          <w:rFonts w:ascii="Times New Roman" w:eastAsia="Times New Roman" w:hAnsi="Times New Roman"/>
          <w:b/>
          <w:sz w:val="24"/>
          <w:lang w:val="kk-KZ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7950A3">
        <w:rPr>
          <w:rFonts w:ascii="Times New Roman" w:eastAsia="Times New Roman" w:hAnsi="Times New Roman"/>
          <w:b/>
          <w:sz w:val="24"/>
        </w:rPr>
        <w:t xml:space="preserve"> «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Балалардағы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анафилаксиялық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 xml:space="preserve"> шок 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кезінде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жедел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медициналық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 xml:space="preserve"> к</w:t>
      </w:r>
      <w:r w:rsidR="007950A3">
        <w:rPr>
          <w:rFonts w:ascii="Times New Roman" w:eastAsia="Times New Roman" w:hAnsi="Times New Roman"/>
          <w:b/>
          <w:sz w:val="24"/>
          <w:lang w:val="kk-KZ"/>
        </w:rPr>
        <w:t>ө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мек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 xml:space="preserve"> к</w:t>
      </w:r>
      <w:r w:rsidR="007950A3">
        <w:rPr>
          <w:rFonts w:ascii="Times New Roman" w:eastAsia="Times New Roman" w:hAnsi="Times New Roman"/>
          <w:b/>
          <w:sz w:val="24"/>
          <w:lang w:val="kk-KZ"/>
        </w:rPr>
        <w:t>ө</w:t>
      </w:r>
      <w:proofErr w:type="spellStart"/>
      <w:r w:rsidR="007950A3">
        <w:rPr>
          <w:rFonts w:ascii="Times New Roman" w:eastAsia="Times New Roman" w:hAnsi="Times New Roman"/>
          <w:b/>
          <w:sz w:val="24"/>
        </w:rPr>
        <w:t>рсету</w:t>
      </w:r>
      <w:proofErr w:type="spellEnd"/>
      <w:r w:rsidR="007950A3">
        <w:rPr>
          <w:rFonts w:ascii="Times New Roman" w:eastAsia="Times New Roman" w:hAnsi="Times New Roman"/>
          <w:b/>
          <w:sz w:val="24"/>
        </w:rPr>
        <w:t>»</w:t>
      </w:r>
    </w:p>
    <w:p w:rsidR="007950A3" w:rsidRDefault="007950A3" w:rsidP="007950A3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1"/>
        <w:gridCol w:w="2684"/>
        <w:gridCol w:w="7086"/>
      </w:tblGrid>
      <w:tr w:rsidR="007950A3" w:rsidTr="007950A3">
        <w:tc>
          <w:tcPr>
            <w:tcW w:w="312" w:type="pct"/>
            <w:vAlign w:val="bottom"/>
          </w:tcPr>
          <w:p w:rsidR="007950A3" w:rsidRDefault="007950A3" w:rsidP="005F2AA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1288" w:type="pct"/>
            <w:vAlign w:val="bottom"/>
          </w:tcPr>
          <w:p w:rsidR="007950A3" w:rsidRDefault="007950A3" w:rsidP="005F2AA1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Қадамдар</w:t>
            </w:r>
            <w:proofErr w:type="spellEnd"/>
          </w:p>
        </w:tc>
        <w:tc>
          <w:tcPr>
            <w:tcW w:w="3400" w:type="pct"/>
            <w:vAlign w:val="bottom"/>
          </w:tcPr>
          <w:p w:rsidR="007950A3" w:rsidRDefault="007950A3" w:rsidP="005F2AA1">
            <w:pPr>
              <w:spacing w:line="0" w:lineRule="atLeast"/>
              <w:ind w:left="22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Әрекет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алгоритмі</w:t>
            </w:r>
            <w:proofErr w:type="spellEnd"/>
          </w:p>
        </w:tc>
      </w:tr>
      <w:tr w:rsidR="007950A3" w:rsidTr="007950A3">
        <w:tc>
          <w:tcPr>
            <w:tcW w:w="5000" w:type="pct"/>
            <w:gridSpan w:val="3"/>
          </w:tcPr>
          <w:p w:rsidR="007950A3" w:rsidRPr="007624C8" w:rsidRDefault="007950A3" w:rsidP="005F2AA1">
            <w:pPr>
              <w:spacing w:line="0" w:lineRule="atLeast"/>
              <w:ind w:right="-8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Жүргізу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тәсі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7950A3" w:rsidTr="007950A3">
        <w:tc>
          <w:tcPr>
            <w:tcW w:w="312" w:type="pct"/>
          </w:tcPr>
          <w:p w:rsidR="007950A3" w:rsidRPr="00280CCA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8" w:type="pct"/>
          </w:tcPr>
          <w:p w:rsidR="007950A3" w:rsidRPr="00FE4C65" w:rsidRDefault="007950A3" w:rsidP="005F2AA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Аллергеннің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организмге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түсуін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тоқтату</w:t>
            </w:r>
            <w:proofErr w:type="spellEnd"/>
          </w:p>
        </w:tc>
        <w:tc>
          <w:tcPr>
            <w:tcW w:w="3400" w:type="pct"/>
          </w:tcPr>
          <w:p w:rsidR="007950A3" w:rsidRPr="00280CCA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Дә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ілік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препараттарды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енгізуді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тоқтату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жәндіктен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қалған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қал</w:t>
            </w:r>
            <w:r>
              <w:rPr>
                <w:rFonts w:ascii="Times New Roman" w:eastAsia="Times New Roman" w:hAnsi="Times New Roman"/>
                <w:sz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ы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қтарды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алып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тастау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Дә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ілер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енгізген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жәндік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шаққан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орыннан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жоғары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мүмкіндігінше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бұрау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(жгут) салу.</w:t>
            </w:r>
          </w:p>
        </w:tc>
      </w:tr>
      <w:tr w:rsidR="007950A3" w:rsidTr="007950A3">
        <w:tc>
          <w:tcPr>
            <w:tcW w:w="312" w:type="pct"/>
          </w:tcPr>
          <w:p w:rsidR="007950A3" w:rsidRPr="00280CCA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8" w:type="pct"/>
          </w:tcPr>
          <w:p w:rsidR="007950A3" w:rsidRPr="009734D0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9734D0">
              <w:rPr>
                <w:rFonts w:ascii="Times New Roman" w:eastAsia="Times New Roman" w:hAnsi="Times New Roman" w:cs="Times New Roman"/>
                <w:sz w:val="24"/>
              </w:rPr>
              <w:t>ABCD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науқастың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жағдайын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</w:p>
          <w:p w:rsidR="007950A3" w:rsidRPr="009734D0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disability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сананың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болмауы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7950A3" w:rsidRPr="009036A5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circulation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қан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айналымы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3400" w:type="pct"/>
          </w:tcPr>
          <w:p w:rsidR="007950A3" w:rsidRPr="009734D0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Сана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деңгей</w:t>
            </w:r>
            <w:r>
              <w:rPr>
                <w:rFonts w:ascii="Times New Roman" w:eastAsia="Times New Roman" w:hAnsi="Times New Roman" w:cs="Times New Roman"/>
                <w:sz w:val="24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науқастың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қталған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"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Сіз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өзіңізді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сезін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тұрсыз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>?"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– деп сұраңыз,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егер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жауап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болмаса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тыныс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проблемалары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мүмкін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7950A3" w:rsidRPr="009734D0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П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ульстің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жиілігін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>, симметрия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лылығын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ырғағын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тол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ымдылығын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кернеуін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пульстік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толқын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пішінін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есептеңіз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50A3" w:rsidRPr="009734D0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АҚҚ өлшеу</w:t>
            </w:r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Мүмкіндігінше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мониторға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қосыңыз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ә</w:t>
            </w:r>
            <w:proofErr w:type="gram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2-5 минут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сайын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қолмен</w:t>
            </w:r>
            <w:proofErr w:type="spellEnd"/>
            <w:r w:rsidRPr="009734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34D0">
              <w:rPr>
                <w:rFonts w:ascii="Times New Roman" w:eastAsia="Times New Roman" w:hAnsi="Times New Roman" w:cs="Times New Roman"/>
                <w:sz w:val="24"/>
              </w:rPr>
              <w:t>бақылаңыз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. </w:t>
            </w:r>
          </w:p>
        </w:tc>
      </w:tr>
      <w:tr w:rsidR="007950A3" w:rsidRPr="00AF1669" w:rsidTr="007950A3">
        <w:tc>
          <w:tcPr>
            <w:tcW w:w="312" w:type="pct"/>
          </w:tcPr>
          <w:p w:rsidR="007950A3" w:rsidRPr="00280CCA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88" w:type="pct"/>
          </w:tcPr>
          <w:p w:rsidR="007950A3" w:rsidRPr="004430E1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А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-airway (тыныс алу жолдары).</w:t>
            </w:r>
          </w:p>
          <w:p w:rsidR="007950A3" w:rsidRPr="004430E1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В 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– breathing (тыныс алу).</w:t>
            </w:r>
          </w:p>
          <w:p w:rsidR="007950A3" w:rsidRPr="004430E1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-exposure (экспозиция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).</w:t>
            </w:r>
          </w:p>
        </w:tc>
        <w:tc>
          <w:tcPr>
            <w:tcW w:w="3400" w:type="pct"/>
          </w:tcPr>
          <w:p w:rsidR="007950A3" w:rsidRPr="004430E1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>Тыныс алу жолдарын кедергіге тексеріңіз (қажет болған жағдайда ауыз қуысын шырыштан, құсу массасынан, протезден тазартыңыз).</w:t>
            </w:r>
          </w:p>
          <w:p w:rsidR="007950A3" w:rsidRPr="004430E1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ТАЖ</w:t>
            </w:r>
            <w:r w:rsidRPr="004430E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есептеу. Тыныс алудың тереңдігі мен ырғағын, екі жағынан да тыныс алудың біркелкілігін бағалаңыз. </w:t>
            </w:r>
          </w:p>
          <w:p w:rsidR="007950A3" w:rsidRPr="00FE4C65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FE4C65">
              <w:rPr>
                <w:rFonts w:ascii="Times New Roman" w:eastAsia="Times New Roman" w:hAnsi="Times New Roman" w:cs="Times New Roman"/>
                <w:sz w:val="24"/>
                <w:lang w:val="kk-KZ"/>
              </w:rPr>
              <w:t>Науқастың денесінің барлық қол жетімді жерлерін тексеріңіз, өйткені тері мен шырышты қабаттардағы өзгерістер анық болмауы мүмкін.</w:t>
            </w:r>
          </w:p>
        </w:tc>
      </w:tr>
      <w:tr w:rsidR="007950A3" w:rsidTr="007950A3">
        <w:tc>
          <w:tcPr>
            <w:tcW w:w="312" w:type="pct"/>
          </w:tcPr>
          <w:p w:rsidR="007950A3" w:rsidRPr="00787334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8" w:type="pct"/>
          </w:tcPr>
          <w:p w:rsidR="007950A3" w:rsidRPr="00280CCA" w:rsidRDefault="007950A3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Венаішілік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қолымжетімділікті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ету</w:t>
            </w:r>
            <w:proofErr w:type="spellEnd"/>
          </w:p>
        </w:tc>
        <w:tc>
          <w:tcPr>
            <w:tcW w:w="3400" w:type="pct"/>
          </w:tcPr>
          <w:p w:rsidR="007950A3" w:rsidRPr="00280CCA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Перифериялық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веналар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ға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катетеризация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7950A3" w:rsidTr="007950A3">
        <w:tc>
          <w:tcPr>
            <w:tcW w:w="5000" w:type="pct"/>
            <w:gridSpan w:val="3"/>
          </w:tcPr>
          <w:p w:rsidR="007950A3" w:rsidRDefault="007950A3" w:rsidP="00AF1669">
            <w:pPr>
              <w:spacing w:line="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Емдеу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іс-шаралары</w:t>
            </w:r>
            <w:proofErr w:type="spellEnd"/>
            <w:r w:rsidRPr="007624C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7950A3" w:rsidTr="007950A3">
        <w:tc>
          <w:tcPr>
            <w:tcW w:w="312" w:type="pct"/>
          </w:tcPr>
          <w:p w:rsidR="007950A3" w:rsidRPr="009036A5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8" w:type="pct"/>
          </w:tcPr>
          <w:p w:rsidR="007950A3" w:rsidRDefault="007950A3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Тамырларды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тарылтатын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терапия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жүргізу</w:t>
            </w:r>
          </w:p>
        </w:tc>
        <w:tc>
          <w:tcPr>
            <w:tcW w:w="3400" w:type="pct"/>
          </w:tcPr>
          <w:p w:rsidR="007950A3" w:rsidRPr="00451FB7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Эпинефрин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6057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тамырішілік</w:t>
            </w:r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титрлеумен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950A3" w:rsidRPr="00451FB7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0 – 12 жас-1 мкг/кг, реакция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болмаған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кезде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анафилаксия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симптомдары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азайғ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АҚҚ</w:t>
            </w:r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, ЖЖЖ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дозалану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симптомдары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қадағалап отырып</w:t>
            </w:r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эпинефринді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сол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дозада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енгізуді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қайталау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.</w:t>
            </w:r>
          </w:p>
          <w:p w:rsidR="007950A3" w:rsidRPr="00320821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D6057B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>Тамырішілік қолжетімділік</w:t>
            </w:r>
            <w:r w:rsidRPr="00320821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 xml:space="preserve"> болмаған </w:t>
            </w:r>
            <w:r w:rsidRPr="00D6057B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>жағдайда</w:t>
            </w:r>
            <w:r w:rsidRPr="00320821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>:</w:t>
            </w:r>
          </w:p>
          <w:p w:rsidR="007950A3" w:rsidRPr="00320821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Эпинефрин 0,1%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бұлшықетке</w:t>
            </w: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: </w:t>
            </w:r>
          </w:p>
          <w:p w:rsidR="007950A3" w:rsidRPr="00320821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>0-6 жас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– </w:t>
            </w: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>150 мкг (0,15 мг)</w:t>
            </w:r>
          </w:p>
          <w:p w:rsidR="007950A3" w:rsidRPr="00320821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-</w:t>
            </w: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>12 жас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– </w:t>
            </w:r>
            <w:r w:rsidRPr="0032082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300 мкг (0,3 мг) </w:t>
            </w:r>
          </w:p>
          <w:p w:rsidR="007950A3" w:rsidRPr="00D6057B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реакция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болмаған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кезде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минуттан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кейін</w:t>
            </w:r>
            <w:proofErr w:type="spellEnd"/>
            <w:r w:rsidRPr="0045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 w:cs="Times New Roman"/>
                <w:sz w:val="24"/>
              </w:rPr>
              <w:t>қайталау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7950A3" w:rsidTr="007950A3">
        <w:tc>
          <w:tcPr>
            <w:tcW w:w="312" w:type="pct"/>
          </w:tcPr>
          <w:p w:rsidR="007950A3" w:rsidRPr="009036A5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88" w:type="pct"/>
          </w:tcPr>
          <w:p w:rsidR="007950A3" w:rsidRPr="00280CCA" w:rsidRDefault="007950A3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Науқасты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оттегімен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қамтамасыз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ету</w:t>
            </w:r>
            <w:proofErr w:type="spellEnd"/>
          </w:p>
        </w:tc>
        <w:tc>
          <w:tcPr>
            <w:tcW w:w="3400" w:type="pct"/>
          </w:tcPr>
          <w:p w:rsidR="007950A3" w:rsidRPr="00280CCA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Оттегі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м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аска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мұрын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катетері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тү</w:t>
            </w:r>
            <w:proofErr w:type="gram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 w:rsidRPr="001F375E">
              <w:rPr>
                <w:rFonts w:ascii="Times New Roman" w:eastAsia="Times New Roman" w:hAnsi="Times New Roman" w:cs="Times New Roman"/>
                <w:sz w:val="24"/>
              </w:rPr>
              <w:t>ік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арқылы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өтеді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Мақсатты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SpO2= 94-98%,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бірақ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90-92% - дан кем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емес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ұстап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тұру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,</w:t>
            </w:r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титрлеумен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,</w:t>
            </w:r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ылғалданған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оттегінің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жоғары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ағынын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инсуфляциялау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(О2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жоғары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ағынын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қамтамасыз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ету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мүмкін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болмаған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кезде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Амбу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қап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шығы</w:t>
            </w:r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кеңірдектің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интубациясы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F375E">
              <w:rPr>
                <w:rFonts w:ascii="Times New Roman" w:eastAsia="Times New Roman" w:hAnsi="Times New Roman" w:cs="Times New Roman"/>
                <w:sz w:val="24"/>
              </w:rPr>
              <w:t>коникотомия</w:t>
            </w:r>
            <w:proofErr w:type="spellEnd"/>
            <w:r w:rsidRPr="001F375E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950A3" w:rsidRPr="00AF1669" w:rsidTr="007950A3">
        <w:tc>
          <w:tcPr>
            <w:tcW w:w="312" w:type="pct"/>
          </w:tcPr>
          <w:p w:rsidR="007950A3" w:rsidRPr="009036A5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 w:rsidRPr="009036A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88" w:type="pct"/>
          </w:tcPr>
          <w:p w:rsidR="007950A3" w:rsidRDefault="007950A3" w:rsidP="005F2AA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АҚ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жоғарылату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қысымды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аминдерді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енгізу</w:t>
            </w:r>
            <w:proofErr w:type="spellEnd"/>
          </w:p>
          <w:p w:rsidR="007950A3" w:rsidRPr="001F375E" w:rsidRDefault="007950A3" w:rsidP="005F2A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kk-KZ"/>
              </w:rPr>
            </w:pPr>
          </w:p>
          <w:p w:rsidR="007950A3" w:rsidRPr="00280CCA" w:rsidRDefault="007950A3" w:rsidP="005F2AA1">
            <w:pPr>
              <w:tabs>
                <w:tab w:val="left" w:pos="2445"/>
                <w:tab w:val="left" w:pos="3312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pct"/>
          </w:tcPr>
          <w:p w:rsidR="007950A3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ерілгендердің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біреуін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коктамыр ішіне тамшылата:</w:t>
            </w:r>
          </w:p>
          <w:p w:rsidR="007950A3" w:rsidRPr="008217C5" w:rsidRDefault="007950A3" w:rsidP="0095398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1F375E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норэпинефрин – 2-4 мг (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1-2 мл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0,2% ерітінді), 5% глюкозаның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немесе 0,9% натрий хлоридінің 500 мл ерітіндісінде сұйылту,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АҚ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тұрақтанғанға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дейін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0,1-0,5 мкг/кг/мин </w:t>
            </w:r>
            <w:r>
              <w:rPr>
                <w:rFonts w:ascii="Times New Roman" w:eastAsia="Times New Roman" w:hAnsi="Times New Roman"/>
                <w:w w:val="97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инфузия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жылдамдығымен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АҚҚ қалпына келгенше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;</w:t>
            </w:r>
          </w:p>
          <w:p w:rsidR="007950A3" w:rsidRPr="00451FB7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lang w:val="kk-KZ"/>
              </w:rPr>
              <w:t>- 400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мг допаминді  0,9%  натрий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 xml:space="preserve">хлоридінің  немесе  5% 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lastRenderedPageBreak/>
              <w:t>глюкозаның  500  мл  ерітіндісінде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сұйылтады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, 8-10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 xml:space="preserve"> мкг/кг/мин бастапқы жылдамдықпен енгізеді,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систолалық қысым 90 мм сынап бағанынан асу үшін м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ө</w:t>
            </w:r>
            <w:r w:rsidRPr="008217C5">
              <w:rPr>
                <w:rFonts w:ascii="Times New Roman" w:eastAsia="Times New Roman" w:hAnsi="Times New Roman"/>
                <w:sz w:val="24"/>
                <w:lang w:val="kk-KZ"/>
              </w:rPr>
              <w:t>лшерді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титрлейді.</w:t>
            </w:r>
          </w:p>
        </w:tc>
      </w:tr>
      <w:tr w:rsidR="007950A3" w:rsidTr="007950A3">
        <w:tc>
          <w:tcPr>
            <w:tcW w:w="312" w:type="pct"/>
          </w:tcPr>
          <w:p w:rsidR="007950A3" w:rsidRPr="005A5C7B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1288" w:type="pct"/>
          </w:tcPr>
          <w:p w:rsidR="007950A3" w:rsidRPr="0043017E" w:rsidRDefault="007950A3" w:rsidP="005F2AA1">
            <w:pPr>
              <w:spacing w:line="263" w:lineRule="exact"/>
              <w:rPr>
                <w:rFonts w:ascii="Times New Roman" w:eastAsia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Инфузиялық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жасау</w:t>
            </w:r>
          </w:p>
          <w:p w:rsidR="007950A3" w:rsidRDefault="007950A3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pct"/>
          </w:tcPr>
          <w:p w:rsidR="007950A3" w:rsidRDefault="007950A3" w:rsidP="00953982">
            <w:pPr>
              <w:spacing w:line="263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1FB7">
              <w:rPr>
                <w:rFonts w:ascii="Times New Roman" w:eastAsia="Times New Roman" w:hAnsi="Times New Roman"/>
                <w:i/>
                <w:sz w:val="24"/>
                <w:lang w:val="kk-KZ"/>
              </w:rPr>
              <w:t>Б</w:t>
            </w:r>
            <w:proofErr w:type="spellStart"/>
            <w:r w:rsidRPr="00451FB7">
              <w:rPr>
                <w:rFonts w:ascii="Times New Roman" w:eastAsia="Times New Roman" w:hAnsi="Times New Roman"/>
                <w:i/>
                <w:sz w:val="24"/>
              </w:rPr>
              <w:t>ерілгендердің</w:t>
            </w:r>
            <w:proofErr w:type="spellEnd"/>
            <w:r w:rsidRPr="00451FB7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451FB7">
              <w:rPr>
                <w:rFonts w:ascii="Times New Roman" w:eastAsia="Times New Roman" w:hAnsi="Times New Roman"/>
                <w:i/>
                <w:sz w:val="24"/>
              </w:rPr>
              <w:t>біреуін</w:t>
            </w:r>
            <w:proofErr w:type="spellEnd"/>
            <w:r w:rsidRPr="00451FB7">
              <w:rPr>
                <w:rFonts w:ascii="Times New Roman" w:eastAsia="Times New Roman" w:hAnsi="Times New Roman"/>
                <w:i/>
                <w:sz w:val="24"/>
                <w:lang w:val="kk-KZ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коллоидты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кристаллоидты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ерітінділер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):</w:t>
            </w:r>
          </w:p>
          <w:p w:rsidR="007950A3" w:rsidRDefault="007950A3" w:rsidP="0095398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  <w:lang w:val="kk-KZ"/>
              </w:rPr>
              <w:t></w:t>
            </w:r>
            <w:r>
              <w:rPr>
                <w:rFonts w:ascii="Symbol" w:eastAsia="Symbol" w:hAnsi="Symbol"/>
                <w:sz w:val="24"/>
                <w:lang w:val="kk-KZ"/>
              </w:rPr>
              <w:t></w:t>
            </w:r>
            <w:r>
              <w:rPr>
                <w:rFonts w:ascii="Times New Roman" w:eastAsia="Times New Roman" w:hAnsi="Times New Roman"/>
                <w:sz w:val="24"/>
              </w:rPr>
              <w:t xml:space="preserve">декстран,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молекулалық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салмағы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35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-45 кД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кило</w:t>
            </w:r>
            <w:r>
              <w:rPr>
                <w:rFonts w:ascii="Times New Roman" w:eastAsia="Times New Roman" w:hAnsi="Times New Roman"/>
                <w:sz w:val="24"/>
              </w:rPr>
              <w:t>Дальтон) 10мл/кг;</w:t>
            </w:r>
          </w:p>
          <w:p w:rsidR="007950A3" w:rsidRPr="0043017E" w:rsidRDefault="007950A3" w:rsidP="00953982">
            <w:pPr>
              <w:spacing w:line="293" w:lineRule="exact"/>
              <w:jc w:val="both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Symbol" w:eastAsia="Symbol" w:hAnsi="Symbol"/>
                <w:sz w:val="24"/>
                <w:lang w:val="kk-KZ"/>
              </w:rPr>
              <w:t></w:t>
            </w:r>
            <w:r>
              <w:rPr>
                <w:rFonts w:ascii="Symbol" w:eastAsia="Symbol" w:hAnsi="Symbol"/>
                <w:sz w:val="24"/>
                <w:lang w:val="kk-KZ"/>
              </w:rPr>
              <w:t></w:t>
            </w:r>
            <w:r>
              <w:rPr>
                <w:rFonts w:ascii="Times New Roman" w:eastAsia="Times New Roman" w:hAnsi="Times New Roman"/>
                <w:sz w:val="24"/>
              </w:rPr>
              <w:t xml:space="preserve">0,9% натрий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хлоридінің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ерітіндісі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изотониялық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ерітінділер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</w:rPr>
              <w:t xml:space="preserve">мл/кг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20-30 минутта</w:t>
            </w:r>
          </w:p>
        </w:tc>
      </w:tr>
      <w:tr w:rsidR="007950A3" w:rsidTr="007950A3">
        <w:tc>
          <w:tcPr>
            <w:tcW w:w="312" w:type="pct"/>
          </w:tcPr>
          <w:p w:rsidR="007950A3" w:rsidRPr="004B6755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88" w:type="pct"/>
          </w:tcPr>
          <w:p w:rsidR="007950A3" w:rsidRPr="00787334" w:rsidRDefault="007950A3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Гормондық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жүргізу</w:t>
            </w:r>
          </w:p>
        </w:tc>
        <w:tc>
          <w:tcPr>
            <w:tcW w:w="3400" w:type="pct"/>
          </w:tcPr>
          <w:p w:rsidR="007950A3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E683C">
              <w:rPr>
                <w:rFonts w:ascii="Times New Roman" w:eastAsia="Times New Roman" w:hAnsi="Times New Roman" w:cs="Times New Roman"/>
                <w:sz w:val="24"/>
              </w:rPr>
              <w:t xml:space="preserve">Гидрокортизон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ұлшықетке немесе тамырішіне баяу</w:t>
            </w:r>
            <w:r w:rsidRPr="009E683C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950A3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– 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25мг</w:t>
            </w:r>
          </w:p>
          <w:p w:rsidR="007950A3" w:rsidRPr="0041608D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6ай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50мг</w:t>
            </w:r>
          </w:p>
          <w:p w:rsidR="007950A3" w:rsidRPr="00280CCA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100мг</w:t>
            </w:r>
          </w:p>
        </w:tc>
      </w:tr>
      <w:tr w:rsidR="007950A3" w:rsidTr="007950A3">
        <w:tc>
          <w:tcPr>
            <w:tcW w:w="5000" w:type="pct"/>
            <w:gridSpan w:val="3"/>
          </w:tcPr>
          <w:p w:rsidR="007950A3" w:rsidRPr="009E683C" w:rsidRDefault="007950A3" w:rsidP="00AF1669">
            <w:pPr>
              <w:spacing w:line="0" w:lineRule="atLeas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Науқастың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ба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ғытын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kk-KZ"/>
              </w:rPr>
              <w:t>:</w:t>
            </w:r>
          </w:p>
        </w:tc>
      </w:tr>
      <w:tr w:rsidR="007950A3" w:rsidTr="007950A3">
        <w:tc>
          <w:tcPr>
            <w:tcW w:w="312" w:type="pct"/>
          </w:tcPr>
          <w:p w:rsidR="007950A3" w:rsidRPr="00280CCA" w:rsidRDefault="007950A3" w:rsidP="005F2AA1">
            <w:pPr>
              <w:spacing w:line="0" w:lineRule="atLeast"/>
              <w:ind w:right="-8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88" w:type="pct"/>
          </w:tcPr>
          <w:p w:rsidR="007950A3" w:rsidRPr="00787334" w:rsidRDefault="007950A3" w:rsidP="005F2AA1">
            <w:pPr>
              <w:tabs>
                <w:tab w:val="left" w:pos="1931"/>
                <w:tab w:val="left" w:pos="2445"/>
              </w:tabs>
              <w:spacing w:line="0" w:lineRule="atLeast"/>
              <w:ind w:right="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017E">
              <w:rPr>
                <w:rFonts w:ascii="Times New Roman" w:eastAsia="Times New Roman" w:hAnsi="Times New Roman" w:cs="Times New Roman"/>
                <w:sz w:val="24"/>
              </w:rPr>
              <w:t>Науқастың</w:t>
            </w:r>
            <w:proofErr w:type="spellEnd"/>
            <w:r w:rsidRPr="004301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3017E">
              <w:rPr>
                <w:rFonts w:ascii="Times New Roman" w:eastAsia="Times New Roman" w:hAnsi="Times New Roman" w:cs="Times New Roman"/>
                <w:sz w:val="24"/>
              </w:rPr>
              <w:t>ба</w:t>
            </w:r>
            <w:proofErr w:type="gramEnd"/>
            <w:r w:rsidRPr="0043017E">
              <w:rPr>
                <w:rFonts w:ascii="Times New Roman" w:eastAsia="Times New Roman" w:hAnsi="Times New Roman" w:cs="Times New Roman"/>
                <w:sz w:val="24"/>
              </w:rPr>
              <w:t>ғытын</w:t>
            </w:r>
            <w:proofErr w:type="spellEnd"/>
            <w:r w:rsidRPr="004301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3017E"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</w:p>
        </w:tc>
        <w:tc>
          <w:tcPr>
            <w:tcW w:w="3400" w:type="pct"/>
          </w:tcPr>
          <w:p w:rsidR="007950A3" w:rsidRPr="0043017E" w:rsidRDefault="007950A3" w:rsidP="00953982">
            <w:pPr>
              <w:spacing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Реанимация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интенсивті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терапия б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ө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імшесіне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>шұғыл госпитализациялау</w:t>
            </w:r>
          </w:p>
        </w:tc>
      </w:tr>
    </w:tbl>
    <w:p w:rsidR="007950A3" w:rsidRDefault="007950A3" w:rsidP="007950A3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</w:p>
    <w:p w:rsidR="007950A3" w:rsidRPr="00320821" w:rsidRDefault="007950A3" w:rsidP="007950A3"/>
    <w:p w:rsidR="00280CCA" w:rsidRDefault="00280CCA" w:rsidP="007950A3">
      <w:pPr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</w:p>
    <w:sectPr w:rsidR="00280CCA" w:rsidSect="00E4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44" w:rsidRDefault="006D2F44" w:rsidP="007915CE">
      <w:r>
        <w:separator/>
      </w:r>
    </w:p>
  </w:endnote>
  <w:endnote w:type="continuationSeparator" w:id="0">
    <w:p w:rsidR="006D2F44" w:rsidRDefault="006D2F44" w:rsidP="007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8" w:rsidRDefault="009B61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8" w:rsidRDefault="009B61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8" w:rsidRDefault="009B61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44" w:rsidRDefault="006D2F44" w:rsidP="007915CE">
      <w:r>
        <w:separator/>
      </w:r>
    </w:p>
  </w:footnote>
  <w:footnote w:type="continuationSeparator" w:id="0">
    <w:p w:rsidR="006D2F44" w:rsidRDefault="006D2F44" w:rsidP="0079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8" w:rsidRDefault="009B6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E" w:rsidRPr="007915CE" w:rsidRDefault="007915CE" w:rsidP="007915CE">
    <w:pPr>
      <w:tabs>
        <w:tab w:val="left" w:pos="1290"/>
      </w:tabs>
      <w:rPr>
        <w:rFonts w:cs="Times New Roman"/>
        <w:sz w:val="16"/>
        <w:szCs w:val="22"/>
        <w:lang w:eastAsia="en-US"/>
      </w:rPr>
    </w:pPr>
    <w:r w:rsidRPr="007915CE">
      <w:rPr>
        <w:rFonts w:cs="Times New Roman"/>
        <w:sz w:val="16"/>
        <w:szCs w:val="22"/>
        <w:lang w:eastAsia="en-US"/>
      </w:rPr>
      <w:tab/>
    </w:r>
  </w:p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9"/>
      <w:gridCol w:w="4000"/>
      <w:gridCol w:w="3520"/>
      <w:gridCol w:w="1882"/>
    </w:tblGrid>
    <w:tr w:rsidR="007915CE" w:rsidRPr="007915CE" w:rsidTr="00405091">
      <w:trPr>
        <w:trHeight w:val="433"/>
      </w:trPr>
      <w:tc>
        <w:tcPr>
          <w:tcW w:w="489" w:type="pct"/>
          <w:vMerge w:val="restart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6"/>
              <w:szCs w:val="22"/>
              <w:lang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  <w:r w:rsidRPr="007915CE">
            <w:rPr>
              <w:rFonts w:cs="Times New Roman"/>
              <w:b/>
              <w:noProof/>
              <w:sz w:val="14"/>
              <w:szCs w:val="14"/>
            </w:rPr>
            <w:drawing>
              <wp:inline distT="0" distB="0" distL="0" distR="0" wp14:anchorId="797B7AC5" wp14:editId="1121E256">
                <wp:extent cx="444761" cy="53403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141" cy="577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pct"/>
          <w:gridSpan w:val="3"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b/>
              <w:sz w:val="17"/>
              <w:szCs w:val="17"/>
              <w:lang w:val="kk-KZ" w:eastAsia="en-US"/>
            </w:rPr>
          </w:pPr>
          <w:r w:rsidRPr="007915CE">
            <w:rPr>
              <w:rFonts w:ascii="Tahoma" w:hAnsi="Tahoma" w:cs="Tahoma"/>
              <w:b/>
              <w:bCs/>
              <w:sz w:val="17"/>
              <w:szCs w:val="17"/>
              <w:lang w:val="kk-KZ" w:eastAsia="en-US"/>
            </w:rPr>
            <w:t>«С.Ж. АСФЕНДИЯРОВ АТЫНДАҒЫ ҚАЗАҚ ҰЛТТЫҚ МЕДИЦИНА УНИВЕРСИТЕТІ» КЕАҚ</w:t>
          </w: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 w:eastAsia="en-US"/>
            </w:rPr>
          </w:pP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eastAsia="en-US"/>
            </w:rPr>
          </w:pP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НАО 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«</w:t>
          </w: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КАЗАХСКИЙ НАЦИОНАЛЬНЫЙ 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МЕДИЦИНСКИЙ УНИВЕРСИТЕТ</w:t>
          </w:r>
          <w:r w:rsidRPr="007915CE">
            <w:rPr>
              <w:rFonts w:ascii="Tahoma" w:hAnsi="Tahoma" w:cs="Tahoma"/>
              <w:b/>
              <w:sz w:val="17"/>
              <w:szCs w:val="17"/>
              <w:lang w:val="kk-KZ" w:eastAsia="en-US"/>
            </w:rPr>
            <w:t xml:space="preserve"> ИМЕНИ С.Д.АСФЕНДИЯРОВА</w:t>
          </w:r>
          <w:r w:rsidRPr="007915CE">
            <w:rPr>
              <w:rFonts w:ascii="Tahoma" w:hAnsi="Tahoma" w:cs="Tahoma"/>
              <w:b/>
              <w:sz w:val="17"/>
              <w:szCs w:val="17"/>
              <w:lang w:eastAsia="en-US"/>
            </w:rPr>
            <w:t>»</w:t>
          </w:r>
        </w:p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  <w:szCs w:val="22"/>
              <w:lang w:eastAsia="en-US"/>
            </w:rPr>
          </w:pPr>
        </w:p>
      </w:tc>
    </w:tr>
    <w:tr w:rsidR="007915CE" w:rsidRPr="007915CE" w:rsidTr="00405091">
      <w:trPr>
        <w:trHeight w:val="176"/>
      </w:trPr>
      <w:tc>
        <w:tcPr>
          <w:tcW w:w="4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</w:p>
      </w:tc>
      <w:tc>
        <w:tcPr>
          <w:tcW w:w="1919" w:type="pct"/>
          <w:vMerge w:val="restart"/>
        </w:tcPr>
        <w:p w:rsidR="007915CE" w:rsidRPr="003F1448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</w:p>
        <w:p w:rsidR="007915CE" w:rsidRPr="003F1448" w:rsidRDefault="007915CE" w:rsidP="007950A3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17"/>
              <w:szCs w:val="17"/>
              <w:lang w:val="kk-KZ" w:eastAsia="en-US"/>
            </w:rPr>
          </w:pPr>
          <w:r w:rsidRPr="003F1448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>Симуляци</w:t>
          </w:r>
          <w:r w:rsidR="007950A3" w:rsidRPr="003F1448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 xml:space="preserve">ялық Орталық </w:t>
          </w:r>
        </w:p>
      </w:tc>
      <w:tc>
        <w:tcPr>
          <w:tcW w:w="1689" w:type="pct"/>
          <w:vMerge w:val="restart"/>
        </w:tcPr>
        <w:p w:rsidR="007915CE" w:rsidRPr="003F1448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</w:p>
        <w:p w:rsidR="007915CE" w:rsidRPr="003F1448" w:rsidRDefault="007915CE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  <w:r w:rsidRPr="003F1448">
            <w:rPr>
              <w:rFonts w:ascii="Times New Roman" w:hAnsi="Times New Roman" w:cs="Times New Roman"/>
              <w:sz w:val="17"/>
              <w:szCs w:val="17"/>
              <w:lang w:val="kk-KZ" w:eastAsia="en-US"/>
            </w:rPr>
            <w:t xml:space="preserve">Алгоритм </w:t>
          </w:r>
        </w:p>
      </w:tc>
      <w:tc>
        <w:tcPr>
          <w:tcW w:w="903" w:type="pct"/>
        </w:tcPr>
        <w:p w:rsidR="007915CE" w:rsidRPr="009B6198" w:rsidRDefault="009B6198" w:rsidP="009B6198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  <w:bookmarkStart w:id="0" w:name="_GoBack"/>
          <w:bookmarkEnd w:id="0"/>
        </w:p>
      </w:tc>
    </w:tr>
    <w:tr w:rsidR="007915CE" w:rsidRPr="007915CE" w:rsidTr="00405091">
      <w:trPr>
        <w:trHeight w:val="135"/>
      </w:trPr>
      <w:tc>
        <w:tcPr>
          <w:tcW w:w="489" w:type="pct"/>
          <w:vMerge/>
        </w:tcPr>
        <w:p w:rsidR="007915CE" w:rsidRPr="007915CE" w:rsidRDefault="007915CE" w:rsidP="007915CE">
          <w:pPr>
            <w:tabs>
              <w:tab w:val="center" w:pos="4677"/>
              <w:tab w:val="right" w:pos="9355"/>
            </w:tabs>
            <w:rPr>
              <w:rFonts w:cs="Times New Roman"/>
              <w:sz w:val="22"/>
              <w:szCs w:val="22"/>
              <w:lang w:eastAsia="en-US"/>
            </w:rPr>
          </w:pPr>
        </w:p>
      </w:tc>
      <w:tc>
        <w:tcPr>
          <w:tcW w:w="1919" w:type="pct"/>
          <w:vMerge/>
        </w:tcPr>
        <w:p w:rsidR="007915CE" w:rsidRPr="003F1448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  <w:lang w:eastAsia="en-US"/>
            </w:rPr>
          </w:pPr>
        </w:p>
      </w:tc>
      <w:tc>
        <w:tcPr>
          <w:tcW w:w="1689" w:type="pct"/>
          <w:vMerge/>
        </w:tcPr>
        <w:p w:rsidR="007915CE" w:rsidRPr="003F1448" w:rsidRDefault="007915CE" w:rsidP="007915CE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17"/>
              <w:szCs w:val="17"/>
              <w:lang w:eastAsia="en-US"/>
            </w:rPr>
          </w:pPr>
        </w:p>
      </w:tc>
      <w:tc>
        <w:tcPr>
          <w:tcW w:w="903" w:type="pct"/>
        </w:tcPr>
        <w:p w:rsidR="007915CE" w:rsidRPr="003F1448" w:rsidRDefault="006D2F44" w:rsidP="007915CE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</w:pPr>
          <w:sdt>
            <w:sdtPr>
              <w:rPr>
                <w:rFonts w:ascii="Times New Roman" w:hAnsi="Times New Roman" w:cs="Times New Roman"/>
                <w:sz w:val="17"/>
                <w:szCs w:val="17"/>
              </w:rPr>
              <w:id w:val="-207112150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Arial"/>
              </w:rPr>
            </w:sdtEndPr>
            <w:sdtContent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>2 б</w:t>
              </w:r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</w:rPr>
                <w:t>е</w:t>
              </w:r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 xml:space="preserve">ттің </w:t>
              </w:r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</w:rPr>
                <w:t xml:space="preserve"> </w:t>
              </w:r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 xml:space="preserve"> </w:t>
              </w:r>
              <w:r w:rsidR="007950A3"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="007950A3"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PAGE</w:instrText>
              </w:r>
              <w:r w:rsidR="007950A3"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9B6198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1</w:t>
              </w:r>
              <w:r w:rsidR="007950A3" w:rsidRPr="003F144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</w:rPr>
                <w:t xml:space="preserve"> </w:t>
              </w:r>
              <w:r w:rsidR="007950A3" w:rsidRPr="003F1448">
                <w:rPr>
                  <w:rFonts w:ascii="Times New Roman" w:hAnsi="Times New Roman" w:cs="Times New Roman"/>
                  <w:sz w:val="17"/>
                  <w:szCs w:val="17"/>
                  <w:lang w:val="kk-KZ"/>
                </w:rPr>
                <w:t>беті</w:t>
              </w:r>
            </w:sdtContent>
          </w:sdt>
          <w:r w:rsidR="007950A3" w:rsidRPr="003F1448"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  <w:t xml:space="preserve"> </w:t>
          </w:r>
        </w:p>
      </w:tc>
    </w:tr>
  </w:tbl>
  <w:p w:rsidR="007915CE" w:rsidRDefault="007915CE" w:rsidP="00881B32">
    <w:pPr>
      <w:pStyle w:val="a3"/>
      <w:tabs>
        <w:tab w:val="clear" w:pos="4677"/>
        <w:tab w:val="clear" w:pos="9355"/>
        <w:tab w:val="left" w:pos="27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8" w:rsidRDefault="009B6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72E6"/>
    <w:multiLevelType w:val="multilevel"/>
    <w:tmpl w:val="4A0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6"/>
    <w:rsid w:val="000333C2"/>
    <w:rsid w:val="000A306C"/>
    <w:rsid w:val="000D06BA"/>
    <w:rsid w:val="00106E64"/>
    <w:rsid w:val="001B09A5"/>
    <w:rsid w:val="001B16D7"/>
    <w:rsid w:val="001C2BD6"/>
    <w:rsid w:val="001C5D80"/>
    <w:rsid w:val="002760AC"/>
    <w:rsid w:val="00280CCA"/>
    <w:rsid w:val="00283CDE"/>
    <w:rsid w:val="003265BF"/>
    <w:rsid w:val="00363007"/>
    <w:rsid w:val="0039123E"/>
    <w:rsid w:val="003F1448"/>
    <w:rsid w:val="00405091"/>
    <w:rsid w:val="0041608D"/>
    <w:rsid w:val="00430B6C"/>
    <w:rsid w:val="00471C75"/>
    <w:rsid w:val="004B6755"/>
    <w:rsid w:val="004C42D2"/>
    <w:rsid w:val="004F0242"/>
    <w:rsid w:val="00557C63"/>
    <w:rsid w:val="005A5C7B"/>
    <w:rsid w:val="005C419D"/>
    <w:rsid w:val="005C78E5"/>
    <w:rsid w:val="005E2247"/>
    <w:rsid w:val="005F64E2"/>
    <w:rsid w:val="00612D2B"/>
    <w:rsid w:val="006D21EE"/>
    <w:rsid w:val="006D2F44"/>
    <w:rsid w:val="00707A52"/>
    <w:rsid w:val="00726F23"/>
    <w:rsid w:val="007624C8"/>
    <w:rsid w:val="00787334"/>
    <w:rsid w:val="007915CE"/>
    <w:rsid w:val="007950A3"/>
    <w:rsid w:val="007A703F"/>
    <w:rsid w:val="007B4BC1"/>
    <w:rsid w:val="007D73EE"/>
    <w:rsid w:val="00881B32"/>
    <w:rsid w:val="008A295C"/>
    <w:rsid w:val="008E21BB"/>
    <w:rsid w:val="009036A5"/>
    <w:rsid w:val="0091504A"/>
    <w:rsid w:val="00942070"/>
    <w:rsid w:val="00953982"/>
    <w:rsid w:val="00980267"/>
    <w:rsid w:val="009A610D"/>
    <w:rsid w:val="009B6198"/>
    <w:rsid w:val="009E683C"/>
    <w:rsid w:val="00AF1669"/>
    <w:rsid w:val="00AF6212"/>
    <w:rsid w:val="00B07D01"/>
    <w:rsid w:val="00B14650"/>
    <w:rsid w:val="00B4281B"/>
    <w:rsid w:val="00BA5B53"/>
    <w:rsid w:val="00D42F85"/>
    <w:rsid w:val="00DA49E6"/>
    <w:rsid w:val="00DA6A5A"/>
    <w:rsid w:val="00DA7F04"/>
    <w:rsid w:val="00DC73C3"/>
    <w:rsid w:val="00DF049A"/>
    <w:rsid w:val="00E4730C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5C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9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1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uadmin</cp:lastModifiedBy>
  <cp:revision>39</cp:revision>
  <dcterms:created xsi:type="dcterms:W3CDTF">2021-06-03T04:09:00Z</dcterms:created>
  <dcterms:modified xsi:type="dcterms:W3CDTF">2022-08-09T03:54:00Z</dcterms:modified>
</cp:coreProperties>
</file>