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92F5" w14:textId="77777777" w:rsidR="008D27E8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42DA174" w14:textId="77777777" w:rsidR="008D27E8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A551FB" w14:textId="77777777" w:rsidR="008D27E8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B7E19F" w14:textId="55511FE1" w:rsidR="008D27E8" w:rsidRPr="005F11ED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Б</w:t>
      </w:r>
      <w:r w:rsidRPr="00683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асқарма Төрағасы-Ректордың </w:t>
      </w:r>
    </w:p>
    <w:p w14:paraId="285738ED" w14:textId="77777777" w:rsidR="008D27E8" w:rsidRPr="005F11ED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83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жылғы 24 қарашадағы </w:t>
      </w:r>
    </w:p>
    <w:p w14:paraId="352F9D5C" w14:textId="77777777" w:rsidR="008D27E8" w:rsidRPr="005F11ED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83D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№615 бұйрығымен </w:t>
      </w:r>
    </w:p>
    <w:p w14:paraId="7EB4B446" w14:textId="77777777" w:rsidR="008D27E8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F11ED">
        <w:rPr>
          <w:rFonts w:ascii="Times New Roman" w:hAnsi="Times New Roman" w:cs="Times New Roman"/>
          <w:b/>
          <w:sz w:val="28"/>
          <w:szCs w:val="28"/>
          <w:lang w:val="kk-KZ"/>
        </w:rPr>
        <w:tab/>
        <w:t>БЕКІТІЛГЕН</w:t>
      </w:r>
    </w:p>
    <w:p w14:paraId="7574EA2C" w14:textId="77777777" w:rsidR="008D27E8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194D10" w14:textId="77777777" w:rsidR="008D27E8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133593" w14:textId="77777777" w:rsidR="008D27E8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730A8D7" w14:textId="77777777" w:rsidR="008D27E8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73253F" w14:textId="77777777" w:rsidR="008D27E8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6A568C" w14:textId="77777777" w:rsidR="008D27E8" w:rsidRDefault="008D27E8" w:rsidP="008D2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8734A4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«С.Ж.АСФЕНДИЯРОВ АТЫНДАҒЫ ҚАЗАҚ ҰЛТТЫҚ МЕДИЦИНА УНИВЕРСИТЕТІ» КЕАҚ СЫБАЙЛАС ЖЕМҚОРЛЫҚҚА ҚАРСЫ ІС-ҚИМЫЛ САЛАСЫНДАҒЫ САЯСАТЫ</w:t>
      </w:r>
    </w:p>
    <w:p w14:paraId="25FB541E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5D6C2E3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FF5CF4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19DB1FE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C21D57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EC51B2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06FCC1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E1B6D99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383BF4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60C493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621971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05"/>
        <w:gridCol w:w="3210"/>
      </w:tblGrid>
      <w:tr w:rsidR="007A40B7" w14:paraId="1A0AEFA0" w14:textId="77777777" w:rsidTr="007A40B7">
        <w:tc>
          <w:tcPr>
            <w:tcW w:w="3114" w:type="dxa"/>
          </w:tcPr>
          <w:p w14:paraId="05CF51C7" w14:textId="77777777" w:rsid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0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Жарамдылық мерзімі</w:t>
            </w:r>
          </w:p>
          <w:p w14:paraId="28594400" w14:textId="7C05CE7B" w:rsid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24.11.2021 –</w:t>
            </w:r>
          </w:p>
          <w:p w14:paraId="40492B57" w14:textId="72020E5D" w:rsidR="007A40B7" w:rsidRP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24.11.2024 ж. дейін</w:t>
            </w:r>
          </w:p>
          <w:p w14:paraId="1579D13C" w14:textId="091391D0" w:rsidR="007A40B7" w:rsidRP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3305" w:type="dxa"/>
          </w:tcPr>
          <w:p w14:paraId="61B82277" w14:textId="77777777" w:rsid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0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Жаңарту кезеңі</w:t>
            </w:r>
          </w:p>
          <w:p w14:paraId="7D5CB473" w14:textId="1F101FFE" w:rsidR="007A40B7" w:rsidRP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_____20__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ж.</w:t>
            </w:r>
          </w:p>
        </w:tc>
        <w:tc>
          <w:tcPr>
            <w:tcW w:w="3210" w:type="dxa"/>
          </w:tcPr>
          <w:p w14:paraId="074BA2E4" w14:textId="3B1EB8B3" w:rsid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Күй:</w:t>
            </w:r>
          </w:p>
          <w:p w14:paraId="4916B416" w14:textId="77777777" w:rsid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Белсенді</w:t>
            </w:r>
          </w:p>
          <w:p w14:paraId="68838ED2" w14:textId="5EFB02F9" w:rsidR="007A40B7" w:rsidRP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Ескі</w:t>
            </w:r>
          </w:p>
        </w:tc>
      </w:tr>
      <w:tr w:rsidR="007A40B7" w14:paraId="0A15398B" w14:textId="77777777" w:rsidTr="007A40B7">
        <w:tc>
          <w:tcPr>
            <w:tcW w:w="3114" w:type="dxa"/>
          </w:tcPr>
          <w:p w14:paraId="601F2D63" w14:textId="4F208700" w:rsid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0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Алдыңғы ескі құжат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</w:p>
          <w:p w14:paraId="1E1E20B3" w14:textId="24603523" w:rsidR="007A40B7" w:rsidRP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ректордың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бұйрығы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0977EBB" w14:textId="49D21B67" w:rsidR="007A40B7" w:rsidRDefault="007A40B7" w:rsidP="008D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305" w:type="dxa"/>
          </w:tcPr>
          <w:p w14:paraId="3EE588DA" w14:textId="39920720" w:rsidR="007A40B7" w:rsidRP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0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Құжатты басқаруға жауапты тұлғаның қолы</w:t>
            </w:r>
          </w:p>
        </w:tc>
        <w:tc>
          <w:tcPr>
            <w:tcW w:w="3210" w:type="dxa"/>
          </w:tcPr>
          <w:p w14:paraId="6DAB58A8" w14:textId="4E65DFB7" w:rsidR="007A40B7" w:rsidRP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0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E7A82FA" w14:textId="35444520" w:rsidR="007A40B7" w:rsidRPr="007A40B7" w:rsidRDefault="007A40B7" w:rsidP="008D27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A40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Көшірме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  <w:p w14:paraId="06BFE086" w14:textId="171CA7B5" w:rsidR="007A40B7" w:rsidRDefault="007A40B7" w:rsidP="008D2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40B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</w:t>
            </w:r>
          </w:p>
        </w:tc>
      </w:tr>
    </w:tbl>
    <w:p w14:paraId="5876B5F4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2F2A6E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57BA12A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E2B4FB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0950FF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751D54" w14:textId="77777777" w:rsidR="008D27E8" w:rsidRDefault="008D27E8" w:rsidP="008D2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Алматы – 2021</w:t>
      </w:r>
    </w:p>
    <w:p w14:paraId="54721C03" w14:textId="77777777" w:rsidR="00A065C9" w:rsidRPr="008D27E8" w:rsidRDefault="00A065C9" w:rsidP="00AA671F">
      <w:pPr>
        <w:rPr>
          <w:rFonts w:ascii="Times New Roman" w:hAnsi="Times New Roman" w:cs="Times New Roman"/>
          <w:sz w:val="24"/>
          <w:lang w:val="kk-KZ"/>
        </w:rPr>
      </w:pPr>
    </w:p>
    <w:p w14:paraId="38A98F09" w14:textId="77777777" w:rsidR="00A065C9" w:rsidRPr="008D27E8" w:rsidRDefault="00A065C9" w:rsidP="00AA671F">
      <w:pPr>
        <w:rPr>
          <w:rFonts w:ascii="Times New Roman" w:hAnsi="Times New Roman" w:cs="Times New Roman"/>
          <w:sz w:val="24"/>
          <w:lang w:val="kk-KZ"/>
        </w:rPr>
      </w:pPr>
    </w:p>
    <w:p w14:paraId="5BE10DFB" w14:textId="77777777" w:rsidR="00A065C9" w:rsidRPr="008D27E8" w:rsidRDefault="00A065C9" w:rsidP="00AA671F">
      <w:pPr>
        <w:rPr>
          <w:rFonts w:ascii="Times New Roman" w:hAnsi="Times New Roman" w:cs="Times New Roman"/>
          <w:sz w:val="24"/>
          <w:lang w:val="kk-KZ"/>
        </w:rPr>
      </w:pPr>
    </w:p>
    <w:p w14:paraId="68B09428" w14:textId="415A7E61" w:rsidR="008D27E8" w:rsidRDefault="007A40B7" w:rsidP="008D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8D27E8" w:rsidRPr="005F11ED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білім беру жүйесін үздіксіз жетілдіру және елдің медициналық кадрларын даярлау сапасын арттыру, </w:t>
      </w:r>
      <w:r w:rsidR="008D27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27E8" w:rsidRPr="005F11ED">
        <w:rPr>
          <w:rFonts w:ascii="Times New Roman" w:hAnsi="Times New Roman" w:cs="Times New Roman"/>
          <w:sz w:val="28"/>
          <w:szCs w:val="28"/>
          <w:lang w:val="kk-KZ"/>
        </w:rPr>
        <w:t>Дені сау халық және қазіргі заманғы денсаулық сақтау жүйесі</w:t>
      </w:r>
      <w:r w:rsidR="008D27E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D27E8" w:rsidRPr="005F11ED">
        <w:rPr>
          <w:rFonts w:ascii="Times New Roman" w:hAnsi="Times New Roman" w:cs="Times New Roman"/>
          <w:sz w:val="28"/>
          <w:szCs w:val="28"/>
          <w:lang w:val="kk-KZ"/>
        </w:rPr>
        <w:t xml:space="preserve"> тұжырымдамалық моделін қалыптастыруға жәрдемдесу үшін іргелі кәсіби база құру мақсатында </w:t>
      </w:r>
      <w:r w:rsidR="008D27E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27E8" w:rsidRPr="005F11ED">
        <w:rPr>
          <w:rFonts w:ascii="Times New Roman" w:hAnsi="Times New Roman" w:cs="Times New Roman"/>
          <w:sz w:val="28"/>
          <w:szCs w:val="28"/>
          <w:lang w:val="kk-KZ"/>
        </w:rPr>
        <w:t>С.Ж. Асфендияров атындағы Қазақ ұлттық медицина университеті</w:t>
      </w:r>
      <w:r w:rsidR="008D27E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D27E8" w:rsidRPr="005F11ED">
        <w:rPr>
          <w:rFonts w:ascii="Times New Roman" w:hAnsi="Times New Roman" w:cs="Times New Roman"/>
          <w:sz w:val="28"/>
          <w:szCs w:val="28"/>
          <w:lang w:val="kk-KZ"/>
        </w:rPr>
        <w:t xml:space="preserve"> КЕАҚ (</w:t>
      </w:r>
      <w:r w:rsidR="008D27E8" w:rsidRPr="005F11ED">
        <w:rPr>
          <w:rFonts w:ascii="Times New Roman" w:hAnsi="Times New Roman" w:cs="Times New Roman"/>
          <w:i/>
          <w:sz w:val="28"/>
          <w:szCs w:val="28"/>
          <w:lang w:val="kk-KZ"/>
        </w:rPr>
        <w:t>бұдан әрі-Университет</w:t>
      </w:r>
      <w:r w:rsidR="008D27E8" w:rsidRPr="005F11E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D27E8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</w:t>
      </w:r>
      <w:r w:rsidR="008D27E8" w:rsidRPr="005F11ED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қағидаттары бойынша осы саясатты іске асыру бойынша өзіне міндеттемелер алады:</w:t>
      </w:r>
    </w:p>
    <w:p w14:paraId="5930B5FF" w14:textId="77777777" w:rsidR="008D27E8" w:rsidRDefault="008D27E8" w:rsidP="008D27E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3F0">
        <w:rPr>
          <w:rFonts w:ascii="Times New Roman" w:hAnsi="Times New Roman" w:cs="Times New Roman"/>
          <w:sz w:val="28"/>
          <w:szCs w:val="28"/>
          <w:lang w:val="kk-KZ"/>
        </w:rPr>
        <w:t>Университеттің барлық қызметкерлері өз жұмыстарын адалдық, айқындық, ашықтық және келісімге негізделген корпоративтік мәдениетті сақтай отырып, ISO 37001 халықаралық стандартының талаптарына сәйкес орындауға міндетті.</w:t>
      </w:r>
    </w:p>
    <w:p w14:paraId="3CC2CDF4" w14:textId="77777777" w:rsidR="008D27E8" w:rsidRDefault="008D27E8" w:rsidP="008D27E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3F0">
        <w:rPr>
          <w:rFonts w:ascii="Times New Roman" w:hAnsi="Times New Roman" w:cs="Times New Roman"/>
          <w:sz w:val="28"/>
          <w:szCs w:val="28"/>
          <w:lang w:val="kk-KZ"/>
        </w:rPr>
        <w:t>Университеттің сыбайлас жемқорлыққа қарсы іс-қимыл менеджменті жүйесінің қолданысы саласында парақорлыққа, кез келген нысандағы негізсіз артықшылыққа, Университеттің ішкі нормалары мен заңнамалық актілерін бұза отырып, заңсыз сыйақылар мен сыйлықтарға тыйым салынады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863ED13" w14:textId="77777777" w:rsidR="008D27E8" w:rsidRDefault="008D27E8" w:rsidP="008D27E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3F0">
        <w:rPr>
          <w:rFonts w:ascii="Times New Roman" w:hAnsi="Times New Roman" w:cs="Times New Roman"/>
          <w:sz w:val="28"/>
          <w:szCs w:val="28"/>
          <w:lang w:val="kk-KZ"/>
        </w:rPr>
        <w:t>Университет басшылығы жауапты репрессиядан қорықпай, ақпараттың құпиялылығына кепілдік бере отырып, сыбайлас жемқорлықтың болжамды немесе нақты жағдайлары туралы хабарлау рәсімдерін пайдалануды мадақтайды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C8AA6CD" w14:textId="77777777" w:rsidR="008D27E8" w:rsidRDefault="008D27E8" w:rsidP="008D27E8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3F0">
        <w:rPr>
          <w:rFonts w:ascii="Times New Roman" w:hAnsi="Times New Roman" w:cs="Times New Roman"/>
          <w:sz w:val="28"/>
          <w:szCs w:val="28"/>
          <w:lang w:val="kk-KZ"/>
        </w:rPr>
        <w:t>Университеттің сыбайлас жемқорлыққа қарсы саясат субъектілерінің сыбайлас жемқорлықтың алдын алу, сыбайлас жемқорлық құқық бұзушылықтарды анықтау және сыбайлас жемқорлық тәуекелдерін жою жөніндегі іс-қимылдарын үйлестіруді және бақылауды комплаенс қызметі жүзеге асырады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2DE973" w14:textId="77777777" w:rsidR="008D27E8" w:rsidRDefault="008D27E8" w:rsidP="008D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3F0">
        <w:rPr>
          <w:rFonts w:ascii="Times New Roman" w:hAnsi="Times New Roman" w:cs="Times New Roman"/>
          <w:sz w:val="28"/>
          <w:szCs w:val="28"/>
          <w:lang w:val="kk-KZ"/>
        </w:rPr>
        <w:t>Жоғарыда сипатталған қағидаттарға қол жеткізу үшін Университет басшылығы ISO 37001 халықаралық стандартының талаптары бойынша сыбайлас жемқорлыққа қарсы іс-қимыл менеджменті жүйесін ұдайы жетілдіруге бағытталған іс-шараларды іске асыру үшін қолайлы жағдайлар жасау және қажетті ресурстар бөлу үшін жауапкершілікті өзіне алады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261DEF5" w14:textId="77777777" w:rsidR="008D27E8" w:rsidRDefault="008D27E8" w:rsidP="008D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B33259" w14:textId="77777777" w:rsidR="008D27E8" w:rsidRDefault="008D27E8" w:rsidP="008D2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89F55E6" w14:textId="77777777" w:rsidR="008D27E8" w:rsidRPr="002B03F0" w:rsidRDefault="008D27E8" w:rsidP="008D2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B03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төрағасы – Ректор </w:t>
      </w:r>
      <w:r w:rsidRPr="002B03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B03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B03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B03F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Т. Нұрғожин</w:t>
      </w:r>
    </w:p>
    <w:p w14:paraId="63E23B7C" w14:textId="77777777" w:rsidR="00A065C9" w:rsidRDefault="00A065C9" w:rsidP="00AA671F">
      <w:pPr>
        <w:rPr>
          <w:rFonts w:ascii="Times New Roman" w:hAnsi="Times New Roman" w:cs="Times New Roman"/>
          <w:sz w:val="24"/>
        </w:rPr>
      </w:pPr>
    </w:p>
    <w:p w14:paraId="7910F410" w14:textId="77777777" w:rsidR="00A065C9" w:rsidRDefault="00A065C9" w:rsidP="00AA671F">
      <w:pPr>
        <w:rPr>
          <w:rFonts w:ascii="Times New Roman" w:hAnsi="Times New Roman" w:cs="Times New Roman"/>
          <w:sz w:val="24"/>
        </w:rPr>
      </w:pPr>
    </w:p>
    <w:p w14:paraId="1A6FF8DC" w14:textId="77777777" w:rsidR="007F1854" w:rsidRDefault="007F1854" w:rsidP="00AA671F">
      <w:pPr>
        <w:rPr>
          <w:rFonts w:ascii="Times New Roman" w:hAnsi="Times New Roman" w:cs="Times New Roman"/>
          <w:sz w:val="24"/>
        </w:rPr>
      </w:pPr>
    </w:p>
    <w:p w14:paraId="54AACAE4" w14:textId="77777777" w:rsidR="007F1854" w:rsidRDefault="007F1854" w:rsidP="007F1854">
      <w:pPr>
        <w:rPr>
          <w:rFonts w:ascii="Times New Roman" w:hAnsi="Times New Roman" w:cs="Times New Roman"/>
          <w:sz w:val="24"/>
        </w:rPr>
      </w:pPr>
    </w:p>
    <w:p w14:paraId="373664CB" w14:textId="77777777" w:rsidR="00A065C9" w:rsidRPr="007F1854" w:rsidRDefault="007F1854" w:rsidP="007F1854">
      <w:pPr>
        <w:tabs>
          <w:tab w:val="left" w:pos="10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A065C9" w:rsidRPr="007F1854" w:rsidSect="00AA75BF">
      <w:headerReference w:type="default" r:id="rId7"/>
      <w:pgSz w:w="11906" w:h="16838"/>
      <w:pgMar w:top="1134" w:right="99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BB26" w14:textId="77777777" w:rsidR="00EF1AB2" w:rsidRDefault="00EF1AB2" w:rsidP="009E6D3D">
      <w:pPr>
        <w:spacing w:after="0" w:line="240" w:lineRule="auto"/>
      </w:pPr>
      <w:r>
        <w:separator/>
      </w:r>
    </w:p>
  </w:endnote>
  <w:endnote w:type="continuationSeparator" w:id="0">
    <w:p w14:paraId="4F8518C1" w14:textId="77777777" w:rsidR="00EF1AB2" w:rsidRDefault="00EF1AB2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986F" w14:textId="77777777" w:rsidR="00EF1AB2" w:rsidRDefault="00EF1AB2" w:rsidP="009E6D3D">
      <w:pPr>
        <w:spacing w:after="0" w:line="240" w:lineRule="auto"/>
      </w:pPr>
      <w:r>
        <w:separator/>
      </w:r>
    </w:p>
  </w:footnote>
  <w:footnote w:type="continuationSeparator" w:id="0">
    <w:p w14:paraId="01CAE584" w14:textId="77777777" w:rsidR="00EF1AB2" w:rsidRDefault="00EF1AB2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207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2081"/>
    </w:tblGrid>
    <w:tr w:rsidR="00EA3CA5" w14:paraId="6A19E70A" w14:textId="77777777" w:rsidTr="00B24DBC">
      <w:tc>
        <w:tcPr>
          <w:tcW w:w="1134" w:type="dxa"/>
          <w:vMerge w:val="restart"/>
        </w:tcPr>
        <w:p w14:paraId="6CC60649" w14:textId="77777777" w:rsidR="00082BDA" w:rsidRPr="00082BDA" w:rsidRDefault="00082BDA" w:rsidP="00082BDA">
          <w:pPr>
            <w:pStyle w:val="a3"/>
            <w:rPr>
              <w:sz w:val="6"/>
            </w:rPr>
          </w:pPr>
        </w:p>
        <w:p w14:paraId="03EC06D3" w14:textId="77777777" w:rsidR="00EA3CA5" w:rsidRPr="00082BDA" w:rsidRDefault="004562A8" w:rsidP="00082BDA">
          <w:r w:rsidRPr="003706A4">
            <w:rPr>
              <w:rFonts w:ascii="Tahoma" w:hAnsi="Tahoma" w:cs="Tahoma"/>
              <w:noProof/>
              <w:sz w:val="16"/>
              <w:szCs w:val="16"/>
              <w:lang w:eastAsia="ru-RU"/>
            </w:rPr>
            <w:drawing>
              <wp:inline distT="0" distB="0" distL="0" distR="0" wp14:anchorId="60160C11" wp14:editId="48D9DF9C">
                <wp:extent cx="600075" cy="7239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  <w:gridSpan w:val="3"/>
        </w:tcPr>
        <w:p w14:paraId="10CE7A23" w14:textId="77777777"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14:paraId="5C304E01" w14:textId="77777777" w:rsidR="000E52BC" w:rsidRPr="009D3AF3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9D3AF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187BB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</w:t>
          </w:r>
          <w:r w:rsidR="009D3AF3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ЕАҚ</w:t>
          </w:r>
        </w:p>
        <w:p w14:paraId="442D6C88" w14:textId="77777777" w:rsidR="00EA3CA5" w:rsidRPr="009D3AF3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14:paraId="1DA97407" w14:textId="77777777" w:rsidR="000E52BC" w:rsidRPr="00313202" w:rsidRDefault="009D3AF3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НАО</w:t>
          </w:r>
          <w:r w:rsidR="000E52BC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14:paraId="08D4E320" w14:textId="77777777"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14:paraId="58B49DFE" w14:textId="77777777" w:rsidTr="00B24DBC">
      <w:trPr>
        <w:trHeight w:val="264"/>
      </w:trPr>
      <w:tc>
        <w:tcPr>
          <w:tcW w:w="1134" w:type="dxa"/>
          <w:vMerge/>
        </w:tcPr>
        <w:p w14:paraId="7EC14F1C" w14:textId="77777777"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14:paraId="5904D543" w14:textId="77777777" w:rsidR="004C3FDD" w:rsidRPr="009010DD" w:rsidRDefault="004C3FDD" w:rsidP="004C3FDD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14:paraId="2976615B" w14:textId="77777777" w:rsidR="00EA3CA5" w:rsidRPr="009010DD" w:rsidRDefault="000D1623" w:rsidP="000D1623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9010DD">
            <w:rPr>
              <w:rFonts w:ascii="Times New Roman" w:hAnsi="Times New Roman" w:cs="Times New Roman"/>
              <w:sz w:val="17"/>
              <w:szCs w:val="17"/>
            </w:rPr>
            <w:t>Б</w:t>
          </w:r>
          <w:r w:rsidRPr="009010DD">
            <w:rPr>
              <w:rFonts w:ascii="Times New Roman" w:hAnsi="Times New Roman" w:cs="Times New Roman"/>
              <w:sz w:val="17"/>
              <w:szCs w:val="17"/>
              <w:lang w:val="kk-KZ"/>
            </w:rPr>
            <w:t>өлімнің атауы</w:t>
          </w:r>
        </w:p>
      </w:tc>
      <w:tc>
        <w:tcPr>
          <w:tcW w:w="3402" w:type="dxa"/>
          <w:vMerge w:val="restart"/>
        </w:tcPr>
        <w:p w14:paraId="3D8196C2" w14:textId="77777777" w:rsidR="004C3FDD" w:rsidRPr="009010DD" w:rsidRDefault="004C3FDD" w:rsidP="004C3FDD">
          <w:pPr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14:paraId="2F815AE2" w14:textId="77777777" w:rsidR="00EA3CA5" w:rsidRPr="009010DD" w:rsidRDefault="000D1623" w:rsidP="004C3FDD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9010DD">
            <w:rPr>
              <w:rFonts w:ascii="Times New Roman" w:hAnsi="Times New Roman" w:cs="Times New Roman"/>
              <w:sz w:val="17"/>
              <w:szCs w:val="17"/>
              <w:lang w:val="kk-KZ"/>
            </w:rPr>
            <w:t>Құжаттың атауы</w:t>
          </w:r>
        </w:p>
      </w:tc>
      <w:tc>
        <w:tcPr>
          <w:tcW w:w="2081" w:type="dxa"/>
        </w:tcPr>
        <w:p w14:paraId="108851BE" w14:textId="77777777" w:rsidR="00EA3CA5" w:rsidRPr="00D34F29" w:rsidRDefault="00D34F29" w:rsidP="004C3FDD">
          <w:pPr>
            <w:pStyle w:val="a3"/>
            <w:jc w:val="center"/>
            <w:rPr>
              <w:rFonts w:ascii="Times New Roman" w:hAnsi="Times New Roman" w:cs="Times New Roman"/>
              <w:color w:val="7030A0"/>
              <w:lang w:val="en-US"/>
            </w:rPr>
          </w:pP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Редакция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сы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>1</w:t>
          </w:r>
        </w:p>
      </w:tc>
    </w:tr>
    <w:tr w:rsidR="00EA3CA5" w14:paraId="6A3FBEF7" w14:textId="77777777" w:rsidTr="00B24DBC">
      <w:trPr>
        <w:trHeight w:val="205"/>
      </w:trPr>
      <w:tc>
        <w:tcPr>
          <w:tcW w:w="1134" w:type="dxa"/>
          <w:vMerge/>
        </w:tcPr>
        <w:p w14:paraId="241E0D6A" w14:textId="77777777" w:rsidR="00EA3CA5" w:rsidRDefault="00EA3CA5">
          <w:pPr>
            <w:pStyle w:val="a3"/>
          </w:pPr>
        </w:p>
      </w:tc>
      <w:tc>
        <w:tcPr>
          <w:tcW w:w="3590" w:type="dxa"/>
          <w:vMerge/>
        </w:tcPr>
        <w:p w14:paraId="2FF563D1" w14:textId="77777777"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14:paraId="74030743" w14:textId="77777777"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2081" w:type="dxa"/>
        </w:tcPr>
        <w:p w14:paraId="333A9A57" w14:textId="77777777" w:rsidR="00EA3CA5" w:rsidRPr="004C3FDD" w:rsidRDefault="000D1623" w:rsidP="000D1623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9010DD" w:rsidRPr="009010D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kk-KZ"/>
            </w:rPr>
            <w:t xml:space="preserve"> бетттің </w:t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9010D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беті</w:t>
          </w:r>
          <w:r w:rsidR="004C3FDD"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</w:p>
      </w:tc>
    </w:tr>
  </w:tbl>
  <w:p w14:paraId="2A8DEEE3" w14:textId="77777777" w:rsidR="00EA3CA5" w:rsidRPr="00E63104" w:rsidRDefault="00EA3CA5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37585"/>
    <w:multiLevelType w:val="hybridMultilevel"/>
    <w:tmpl w:val="6DC6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79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3D"/>
    <w:rsid w:val="00082BDA"/>
    <w:rsid w:val="000A53F5"/>
    <w:rsid w:val="000D1623"/>
    <w:rsid w:val="000E52BC"/>
    <w:rsid w:val="00114356"/>
    <w:rsid w:val="001579F3"/>
    <w:rsid w:val="001869F8"/>
    <w:rsid w:val="00187BB9"/>
    <w:rsid w:val="002044DA"/>
    <w:rsid w:val="00232EA6"/>
    <w:rsid w:val="00305949"/>
    <w:rsid w:val="00367587"/>
    <w:rsid w:val="00445F44"/>
    <w:rsid w:val="004562A8"/>
    <w:rsid w:val="004A1B5F"/>
    <w:rsid w:val="004C3FDD"/>
    <w:rsid w:val="005109E3"/>
    <w:rsid w:val="005954E0"/>
    <w:rsid w:val="00614C10"/>
    <w:rsid w:val="00691227"/>
    <w:rsid w:val="007A40B7"/>
    <w:rsid w:val="007C6E4C"/>
    <w:rsid w:val="007F1854"/>
    <w:rsid w:val="007F2A81"/>
    <w:rsid w:val="00831632"/>
    <w:rsid w:val="00837F6E"/>
    <w:rsid w:val="00841B65"/>
    <w:rsid w:val="008D27E8"/>
    <w:rsid w:val="009010DD"/>
    <w:rsid w:val="009D3AF3"/>
    <w:rsid w:val="009E15F1"/>
    <w:rsid w:val="009E6D3D"/>
    <w:rsid w:val="009F02CF"/>
    <w:rsid w:val="00A065C9"/>
    <w:rsid w:val="00A23331"/>
    <w:rsid w:val="00AA671F"/>
    <w:rsid w:val="00AA75BF"/>
    <w:rsid w:val="00B24DBC"/>
    <w:rsid w:val="00CC267A"/>
    <w:rsid w:val="00CF44C7"/>
    <w:rsid w:val="00D01D92"/>
    <w:rsid w:val="00D34F29"/>
    <w:rsid w:val="00D71AE9"/>
    <w:rsid w:val="00D86EEB"/>
    <w:rsid w:val="00E63104"/>
    <w:rsid w:val="00E87D35"/>
    <w:rsid w:val="00EA3CA5"/>
    <w:rsid w:val="00EA3DF4"/>
    <w:rsid w:val="00EC0FA8"/>
    <w:rsid w:val="00EF1AB2"/>
    <w:rsid w:val="00EF3DAE"/>
    <w:rsid w:val="00F2389E"/>
    <w:rsid w:val="00F65D12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C38D4"/>
  <w15:docId w15:val="{D1B90356-9D13-4F89-92D8-3C3D50CD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kaznmu-demo20@outlook.com</cp:lastModifiedBy>
  <cp:revision>9</cp:revision>
  <cp:lastPrinted>2019-05-28T08:59:00Z</cp:lastPrinted>
  <dcterms:created xsi:type="dcterms:W3CDTF">2019-05-28T09:00:00Z</dcterms:created>
  <dcterms:modified xsi:type="dcterms:W3CDTF">2023-08-01T09:25:00Z</dcterms:modified>
</cp:coreProperties>
</file>