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before="0"/>
        <w:rPr>
          <w:rFonts w:ascii="Times New Roman" w:hAnsi="Times New Roman" w:cs="Times New Roman" w:eastAsia="Times New Roman"/>
          <w:color w:val="00000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8"/>
          <w:lang w:val="ru-RU"/>
        </w:rPr>
        <w:t xml:space="preserve">         </w:t>
      </w:r>
      <w:r>
        <w:rPr>
          <w:rFonts w:ascii="Times New Roman" w:hAnsi="Times New Roman" w:cs="Times New Roman" w:eastAsia="Times New Roman"/>
          <w:sz w:val="18"/>
        </w:rPr>
        <w:t xml:space="preserve">434B6B6A0D154F44</w:t>
      </w:r>
      <w:r>
        <w:rPr>
          <w:rFonts w:ascii="Times New Roman" w:hAnsi="Times New Roman" w:cs="Times New Roman" w:eastAsia="Times New Roman"/>
          <w:sz w:val="18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«С.Ж.Асфендияров атындағы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 Қазақ ұлттық медицина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университеті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коммерциялық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 емес акционерлік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қоғамы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2"/>
                <w:lang w:val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055" cy="953734"/>
                      <wp:effectExtent l="0" t="0" r="0" b="0"/>
                      <wp:docPr id="2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Некоммерческое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акционерное общество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Казахский национальный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медицинский университет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имени С.Д.Асфендиярова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lang w:val="ru-RU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pStyle w:val="56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Алматы қаласы, Төле би көшесі, 94 үй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город Алматы, улица Толе би, д.94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4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lang w:val="ru-RU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>
          <w:trHeight w:val="319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jc w:val="both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БҰЙРЫҚ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ПРИКАЗ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02.09.2024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                      № 588</w:t>
            </w:r>
            <w:r/>
          </w:p>
        </w:tc>
      </w:tr>
      <w:tr>
        <w:trPr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jc w:val="left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Алматы қаласы 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город Алматы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</w:tbl>
    <w:p>
      <w:pPr>
        <w:contextualSpacing w:val="false"/>
        <w:ind w:left="0" w:right="0" w:firstLine="0"/>
        <w:jc w:val="left"/>
        <w:spacing w:lineRule="auto" w:line="276" w:after="0" w:before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Профессор-оқытушылар </w:t>
      </w:r>
      <w:r>
        <w:rPr>
          <w:sz w:val="22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құрамының лауазымдық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нұсқаулықтарын бекіту туралы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«С. Д. Асфендияров атындағы ҚазҰМУ» КЕАҚ Директорлар кеңесінің 20.03.2019 ж. шешімімен бекітілген «С. Д. Асфендияров атындағы ҚазҰМУ» КЕАҚ ішкі құжаттар класификаторының 2,3-тармағының 4-бөліміне сәйкес №1 хаттама және «С. Д. Асфендияров атындағы Қазақ ұлт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тық медицина университеті» КЕАҚ «Профессор-оқытушылар құрамы лауазымдарының біліктілік сипаттамалары» бекітілген «С. Д. Асфендияров атындағы ҚазҰМУ» КЕАҚ Басқармасының 2024 жылғы 03 мамырдағы шешімімен № 15 хаттамасы негізінде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</w:t>
        <w:tab/>
        <w:t xml:space="preserve">Профессор-оқытушылар құрамының (бұдан әрі – ПОҚ) лауазымдық нұсқаулықтары қосымшаларға сәйкес бекітілсін.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</w:t>
        <w:tab/>
        <w:t xml:space="preserve">Цифрландыру департаменті мен Адам ресурстарын дамыту департаменті (бұдан әрі – АРДД)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2024 жылғы 2 қыркүйекке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дейінгі мерзімде қамтамасыз етсін: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2.1.</w:t>
        <w:tab/>
        <w:t xml:space="preserve"> «Salem Office» сауда маркасымен «Сириус» автоматтандырылған ақпараттық жүйесінің «Адам ресурстарын басқару» модуліне лауазымдық нұсқаулықтарды енгізу;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2.2.</w:t>
        <w:tab/>
        <w:t xml:space="preserve"> Университет сайтына лауазымдық нұсқаулықтарды орналастыру;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</w:t>
        <w:tab/>
        <w:t xml:space="preserve">АРДД, кафедра меңгерушілері профессор оқытушылар құрамын лауазымдық нұсқаулықтармен таныстыруды қамтамасыз етсін.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</w:t>
        <w:tab/>
        <w:t xml:space="preserve">Басқарма Төрағасы – ректордың 22.09.2022 ж. №459 бұйрығымен бекітілген профессор оқытушылар құрамының лауазымдық нұсқаулықтарының күші жойылды деп есептелсін.</w:t>
      </w:r>
      <w:r/>
    </w:p>
    <w:p>
      <w:pPr>
        <w:ind w:left="0" w:right="0" w:firstLine="709"/>
        <w:jc w:val="both"/>
        <w:spacing w:after="0" w:before="0"/>
        <w:tabs>
          <w:tab w:val="left" w:pos="99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</w:t>
        <w:tab/>
        <w:t xml:space="preserve">Осы бұйрықтың орындалуын бақылау атқарушы директор    С. В. Лаховқа жүктелсін.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Төрағасы-Ректор</w:t>
        <w:tab/>
        <w:tab/>
        <w:tab/>
        <w:tab/>
        <w:tab/>
        <w:t xml:space="preserve">М. Шоранов</w:t>
      </w:r>
      <w:r>
        <w:rPr>
          <w:sz w:val="22"/>
        </w:rPr>
      </w:r>
      <w:r/>
    </w:p>
    <w:p>
      <w:pPr>
        <w:contextualSpacing w:val="false"/>
        <w:jc w:val="left"/>
        <w:spacing w:lineRule="auto" w:line="276" w:after="0" w:before="0"/>
        <w:suppressLineNumbers w:val="0"/>
      </w:pPr>
      <w:r>
        <w:rPr>
          <w:lang w:val="ru-RU"/>
        </w:rPr>
      </w:r>
      <w:r>
        <w:rPr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>
        <w:rPr>
          <w:highlight w:val="none"/>
          <w:lang w:val="ru-RU"/>
        </w:rPr>
      </w:r>
      <w:r>
        <w:rPr>
          <w:lang w:val="ru-RU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134" w:header="709" w:footer="45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false"/>
      <w:jc w:val="left"/>
      <w:spacing w:after="0" w:before="0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85800" cy="685800"/>
              <wp:effectExtent l="0" t="0" r="0" b="0"/>
              <wp:docPr id="1" name="Picture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1" o:title=""/>
            </v:shape>
          </w:pict>
        </mc:Fallback>
      </mc:AlternateContent>
    </w:r>
    <w:r/>
  </w:p>
  <w:p>
    <w:pPr>
      <w:contextualSpacing w:val="false"/>
      <w:jc w:val="both"/>
      <w:spacing w:after="0" w:before="0"/>
      <w:rPr>
        <w:highlight w:val="none"/>
      </w:rPr>
      <w:suppressLineNumbers w:val="0"/>
    </w:pPr>
    <w:r>
      <w:rPr>
        <w:sz w:val="10"/>
      </w:rPr>
    </w:r>
    <w:r>
      <w:rPr>
        <w:sz w:val="10"/>
      </w:rPr>
      <w:t xml:space="preserve">Издатель ЭЦП - ҰЛТТЫҚ КУӘЛАНДЫРУШЫ ОРТАЛЫҚ (GOST) 2022, ШОРАНОВ МАРАТ,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 xml:space="preserve">https://short.kaznmu.kz/ViOeL9</w:t>
    </w:r>
    <w:r>
      <w:rPr>
        <w:highlight w:val="none"/>
      </w:rPr>
    </w:r>
    <w:r/>
  </w:p>
  <w:p>
    <w:pPr>
      <w:contextualSpacing w:val="false"/>
      <w:jc w:val="both"/>
      <w:spacing w:lineRule="auto" w:line="276" w:after="0" w:before="0"/>
      <w:rPr>
        <w:highlight w:val="none"/>
      </w:rPr>
      <w:suppressLineNumbers w:val="0"/>
    </w:pPr>
    <w:r>
      <w:rPr>
        <w:sz w:val="10"/>
        <w:highlight w:val="none"/>
      </w:rPr>
    </w:r>
    <w:r>
      <w:rPr>
        <w:sz w:val="10"/>
      </w:rPr>
      <w:t xml:space="preserve">Электрондық құжатты тексеру үшін: https://salemoffice</w:t>
    </w:r>
    <w:r>
      <w:rPr>
        <w:sz w:val="10"/>
      </w:rPr>
      <w:t xml:space="preserve"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 xml:space="preserve"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  <w:r>
      <w:rPr>
        <w:rFonts w:ascii="Times New Roman" w:hAnsi="Times New Roman" w:cs="Times New Roman" w:eastAsia="Times New Roman"/>
        <w:highlight w:val="none"/>
      </w:rPr>
    </w:r>
    <w:r/>
  </w:p>
  <w:p>
    <w:pPr>
      <w:pStyle w:val="56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2"/>
      <w:rPr>
        <w:sz w:val="18"/>
      </w:rPr>
    </w:pPr>
    <w:r>
      <w:rPr>
        <w:sz w:val="18"/>
        <w:highlight w:val="none"/>
      </w:rPr>
    </w:r>
    <w:r>
      <w:rPr>
        <w:sz w:val="18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36">
    <w:name w:val="Heading 1"/>
    <w:basedOn w:val="711"/>
    <w:next w:val="711"/>
    <w:link w:val="5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37">
    <w:name w:val="Heading 1 Char"/>
    <w:link w:val="536"/>
    <w:uiPriority w:val="9"/>
    <w:rPr>
      <w:rFonts w:ascii="Arial" w:hAnsi="Arial" w:cs="Arial" w:eastAsia="Arial"/>
      <w:sz w:val="40"/>
      <w:szCs w:val="40"/>
    </w:rPr>
  </w:style>
  <w:style w:type="paragraph" w:styleId="538">
    <w:name w:val="Heading 2"/>
    <w:basedOn w:val="711"/>
    <w:next w:val="711"/>
    <w:link w:val="5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39">
    <w:name w:val="Heading 2 Char"/>
    <w:link w:val="538"/>
    <w:uiPriority w:val="9"/>
    <w:rPr>
      <w:rFonts w:ascii="Arial" w:hAnsi="Arial" w:cs="Arial" w:eastAsia="Arial"/>
      <w:sz w:val="34"/>
    </w:rPr>
  </w:style>
  <w:style w:type="paragraph" w:styleId="540">
    <w:name w:val="Heading 3"/>
    <w:basedOn w:val="711"/>
    <w:next w:val="711"/>
    <w:link w:val="5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41">
    <w:name w:val="Heading 3 Char"/>
    <w:link w:val="540"/>
    <w:uiPriority w:val="9"/>
    <w:rPr>
      <w:rFonts w:ascii="Arial" w:hAnsi="Arial" w:cs="Arial" w:eastAsia="Arial"/>
      <w:sz w:val="30"/>
      <w:szCs w:val="30"/>
    </w:rPr>
  </w:style>
  <w:style w:type="paragraph" w:styleId="542">
    <w:name w:val="Heading 4"/>
    <w:basedOn w:val="711"/>
    <w:next w:val="711"/>
    <w:link w:val="5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43">
    <w:name w:val="Heading 4 Char"/>
    <w:link w:val="542"/>
    <w:uiPriority w:val="9"/>
    <w:rPr>
      <w:rFonts w:ascii="Arial" w:hAnsi="Arial" w:cs="Arial" w:eastAsia="Arial"/>
      <w:b/>
      <w:bCs/>
      <w:sz w:val="26"/>
      <w:szCs w:val="26"/>
    </w:rPr>
  </w:style>
  <w:style w:type="paragraph" w:styleId="544">
    <w:name w:val="Heading 5"/>
    <w:basedOn w:val="711"/>
    <w:next w:val="711"/>
    <w:link w:val="5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45">
    <w:name w:val="Heading 5 Char"/>
    <w:link w:val="544"/>
    <w:uiPriority w:val="9"/>
    <w:rPr>
      <w:rFonts w:ascii="Arial" w:hAnsi="Arial" w:cs="Arial" w:eastAsia="Arial"/>
      <w:b/>
      <w:bCs/>
      <w:sz w:val="24"/>
      <w:szCs w:val="24"/>
    </w:rPr>
  </w:style>
  <w:style w:type="paragraph" w:styleId="546">
    <w:name w:val="Heading 6"/>
    <w:basedOn w:val="711"/>
    <w:next w:val="711"/>
    <w:link w:val="5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47">
    <w:name w:val="Heading 6 Char"/>
    <w:link w:val="546"/>
    <w:uiPriority w:val="9"/>
    <w:rPr>
      <w:rFonts w:ascii="Arial" w:hAnsi="Arial" w:cs="Arial" w:eastAsia="Arial"/>
      <w:b/>
      <w:bCs/>
      <w:sz w:val="22"/>
      <w:szCs w:val="22"/>
    </w:rPr>
  </w:style>
  <w:style w:type="paragraph" w:styleId="548">
    <w:name w:val="Heading 7"/>
    <w:basedOn w:val="711"/>
    <w:next w:val="711"/>
    <w:link w:val="5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49">
    <w:name w:val="Heading 7 Char"/>
    <w:link w:val="5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0">
    <w:name w:val="Heading 8"/>
    <w:basedOn w:val="711"/>
    <w:next w:val="711"/>
    <w:link w:val="5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1">
    <w:name w:val="Heading 8 Char"/>
    <w:link w:val="550"/>
    <w:uiPriority w:val="9"/>
    <w:rPr>
      <w:rFonts w:ascii="Arial" w:hAnsi="Arial" w:cs="Arial" w:eastAsia="Arial"/>
      <w:i/>
      <w:iCs/>
      <w:sz w:val="22"/>
      <w:szCs w:val="22"/>
    </w:rPr>
  </w:style>
  <w:style w:type="paragraph" w:styleId="552">
    <w:name w:val="Heading 9"/>
    <w:basedOn w:val="711"/>
    <w:next w:val="711"/>
    <w:link w:val="5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3">
    <w:name w:val="Heading 9 Char"/>
    <w:link w:val="552"/>
    <w:uiPriority w:val="9"/>
    <w:rPr>
      <w:rFonts w:ascii="Arial" w:hAnsi="Arial" w:cs="Arial" w:eastAsia="Arial"/>
      <w:i/>
      <w:iCs/>
      <w:sz w:val="21"/>
      <w:szCs w:val="21"/>
    </w:rPr>
  </w:style>
  <w:style w:type="paragraph" w:styleId="554">
    <w:name w:val="Title"/>
    <w:basedOn w:val="711"/>
    <w:next w:val="711"/>
    <w:link w:val="5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5">
    <w:name w:val="Title Char"/>
    <w:link w:val="554"/>
    <w:uiPriority w:val="10"/>
    <w:rPr>
      <w:sz w:val="48"/>
      <w:szCs w:val="48"/>
    </w:rPr>
  </w:style>
  <w:style w:type="paragraph" w:styleId="556">
    <w:name w:val="Subtitle"/>
    <w:basedOn w:val="711"/>
    <w:next w:val="711"/>
    <w:link w:val="557"/>
    <w:qFormat/>
    <w:uiPriority w:val="11"/>
    <w:rPr>
      <w:sz w:val="24"/>
      <w:szCs w:val="24"/>
    </w:rPr>
    <w:pPr>
      <w:spacing w:after="200" w:before="200"/>
    </w:pPr>
  </w:style>
  <w:style w:type="character" w:styleId="557">
    <w:name w:val="Subtitle Char"/>
    <w:link w:val="556"/>
    <w:uiPriority w:val="11"/>
    <w:rPr>
      <w:sz w:val="24"/>
      <w:szCs w:val="24"/>
    </w:rPr>
  </w:style>
  <w:style w:type="paragraph" w:styleId="558">
    <w:name w:val="Quote"/>
    <w:basedOn w:val="711"/>
    <w:next w:val="711"/>
    <w:link w:val="559"/>
    <w:qFormat/>
    <w:uiPriority w:val="29"/>
    <w:rPr>
      <w:i/>
    </w:rPr>
    <w:pPr>
      <w:ind w:left="720" w:right="720"/>
    </w:pPr>
  </w:style>
  <w:style w:type="character" w:styleId="559">
    <w:name w:val="Quote Char"/>
    <w:link w:val="558"/>
    <w:uiPriority w:val="29"/>
    <w:rPr>
      <w:i/>
    </w:rPr>
  </w:style>
  <w:style w:type="paragraph" w:styleId="560">
    <w:name w:val="Intense Quote"/>
    <w:basedOn w:val="711"/>
    <w:next w:val="711"/>
    <w:link w:val="5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1">
    <w:name w:val="Intense Quote Char"/>
    <w:link w:val="560"/>
    <w:uiPriority w:val="30"/>
    <w:rPr>
      <w:i/>
    </w:rPr>
  </w:style>
  <w:style w:type="paragraph" w:styleId="562">
    <w:name w:val="Header"/>
    <w:basedOn w:val="711"/>
    <w:link w:val="5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3">
    <w:name w:val="Header Char"/>
    <w:link w:val="562"/>
    <w:uiPriority w:val="99"/>
  </w:style>
  <w:style w:type="paragraph" w:styleId="564">
    <w:name w:val="Footer"/>
    <w:basedOn w:val="711"/>
    <w:link w:val="5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5">
    <w:name w:val="Footer Char"/>
    <w:link w:val="564"/>
    <w:uiPriority w:val="99"/>
  </w:style>
  <w:style w:type="paragraph" w:styleId="566">
    <w:name w:val="Caption"/>
    <w:basedOn w:val="711"/>
    <w:next w:val="7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67">
    <w:name w:val="Caption Char"/>
    <w:basedOn w:val="566"/>
    <w:link w:val="564"/>
    <w:uiPriority w:val="99"/>
  </w:style>
  <w:style w:type="table" w:styleId="568">
    <w:name w:val="Table Grid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9">
    <w:name w:val="Table Grid Light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0">
    <w:name w:val="Plain Table 1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1">
    <w:name w:val="Plain Table 2"/>
    <w:basedOn w:val="7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>
    <w:name w:val="Plain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3">
    <w:name w:val="Plain Table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Plain Table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5">
    <w:name w:val="Grid Table 1 Light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Grid Table 1 Light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Grid Table 1 Light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Grid Table 1 Light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2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2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2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3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3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4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7">
    <w:name w:val="Grid Table 4 - Accent 1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98">
    <w:name w:val="Grid Table 4 - Accent 2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99">
    <w:name w:val="Grid Table 4 - Accent 3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0">
    <w:name w:val="Grid Table 4 - Accent 4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1">
    <w:name w:val="Grid Table 4 - Accent 5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2">
    <w:name w:val="Grid Table 4 - Accent 6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3">
    <w:name w:val="Grid Table 5 Dark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04">
    <w:name w:val="Grid Table 5 Dark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05">
    <w:name w:val="Grid Table 5 Dark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06">
    <w:name w:val="Grid Table 5 Dark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07">
    <w:name w:val="Grid Table 5 Dark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09">
    <w:name w:val="Grid Table 5 Dark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10">
    <w:name w:val="Grid Table 6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1">
    <w:name w:val="Grid Table 6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2">
    <w:name w:val="Grid Table 6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13">
    <w:name w:val="Grid Table 6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14">
    <w:name w:val="Grid Table 6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5">
    <w:name w:val="Grid Table 6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6">
    <w:name w:val="Grid Table 6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7">
    <w:name w:val="Grid Table 7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7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7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7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List Table 1 Light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List Table 1 Light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1 Light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2">
    <w:name w:val="List Table 2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33">
    <w:name w:val="List Table 2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34">
    <w:name w:val="List Table 2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5">
    <w:name w:val="List Table 2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6">
    <w:name w:val="List Table 2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7">
    <w:name w:val="List Table 2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38">
    <w:name w:val="List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3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List Table 3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3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4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4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5 Dark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3">
    <w:name w:val="List Table 5 Dark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4">
    <w:name w:val="List Table 5 Dark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5 Dark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6">
    <w:name w:val="List Table 5 Dark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7">
    <w:name w:val="List Table 5 Dark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8">
    <w:name w:val="List Table 5 Dark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6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0">
    <w:name w:val="List Table 6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1">
    <w:name w:val="List Table 6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2">
    <w:name w:val="List Table 6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63">
    <w:name w:val="List Table 6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64">
    <w:name w:val="List Table 6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5">
    <w:name w:val="List Table 6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6">
    <w:name w:val="List Table 7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7">
    <w:name w:val="List Table 7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68">
    <w:name w:val="List Table 7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69">
    <w:name w:val="List Table 7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70">
    <w:name w:val="List Table 7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71">
    <w:name w:val="List Table 7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72">
    <w:name w:val="List Table 7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73">
    <w:name w:val="Lined - Accent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74">
    <w:name w:val="Lined - Accent 1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5">
    <w:name w:val="Lined - Accent 2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6">
    <w:name w:val="Lined - Accent 3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7">
    <w:name w:val="Lined - Accent 4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8">
    <w:name w:val="Lined - Accent 5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9">
    <w:name w:val="Lined - Accent 6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0">
    <w:name w:val="Bordered &amp; Lined - Accent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81">
    <w:name w:val="Bordered &amp; Lined - Accent 1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82">
    <w:name w:val="Bordered &amp; Lined - Accent 2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83">
    <w:name w:val="Bordered &amp; Lined - Accent 3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84">
    <w:name w:val="Bordered &amp; Lined - Accent 4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85">
    <w:name w:val="Bordered &amp; Lined - Accent 5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86">
    <w:name w:val="Bordered &amp; Lined - Accent 6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7">
    <w:name w:val="Bordered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88">
    <w:name w:val="Bordered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89">
    <w:name w:val="Bordered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0">
    <w:name w:val="Bordered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1">
    <w:name w:val="Bordered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2">
    <w:name w:val="Bordered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93">
    <w:name w:val="Bordered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paragraph" w:styleId="695">
    <w:name w:val="footnote text"/>
    <w:basedOn w:val="711"/>
    <w:link w:val="696"/>
    <w:uiPriority w:val="99"/>
    <w:semiHidden/>
    <w:unhideWhenUsed/>
    <w:rPr>
      <w:sz w:val="18"/>
    </w:rPr>
    <w:pPr>
      <w:spacing w:lineRule="auto" w:line="240" w:after="40"/>
    </w:pPr>
  </w:style>
  <w:style w:type="character" w:styleId="696">
    <w:name w:val="Footnote Text Char"/>
    <w:link w:val="695"/>
    <w:uiPriority w:val="99"/>
    <w:rPr>
      <w:sz w:val="18"/>
    </w:rPr>
  </w:style>
  <w:style w:type="character" w:styleId="697">
    <w:name w:val="footnote reference"/>
    <w:uiPriority w:val="99"/>
    <w:unhideWhenUsed/>
    <w:rPr>
      <w:vertAlign w:val="superscript"/>
    </w:rPr>
  </w:style>
  <w:style w:type="paragraph" w:styleId="698">
    <w:name w:val="endnote text"/>
    <w:basedOn w:val="711"/>
    <w:link w:val="699"/>
    <w:uiPriority w:val="99"/>
    <w:semiHidden/>
    <w:unhideWhenUsed/>
    <w:rPr>
      <w:sz w:val="20"/>
    </w:rPr>
    <w:pPr>
      <w:spacing w:lineRule="auto" w:line="240" w:after="0"/>
    </w:pPr>
  </w:style>
  <w:style w:type="character" w:styleId="699">
    <w:name w:val="Endnote Text Char"/>
    <w:link w:val="698"/>
    <w:uiPriority w:val="99"/>
    <w:rPr>
      <w:sz w:val="20"/>
    </w:rPr>
  </w:style>
  <w:style w:type="character" w:styleId="700">
    <w:name w:val="endnote reference"/>
    <w:uiPriority w:val="99"/>
    <w:semiHidden/>
    <w:unhideWhenUsed/>
    <w:rPr>
      <w:vertAlign w:val="superscript"/>
    </w:rPr>
  </w:style>
  <w:style w:type="paragraph" w:styleId="70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70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70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70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70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70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70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70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70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710">
    <w:name w:val="TOC Heading"/>
    <w:uiPriority w:val="39"/>
    <w:unhideWhenUsed/>
  </w:style>
  <w:style w:type="paragraph" w:styleId="711" w:default="1">
    <w:name w:val="Normal"/>
    <w:qFormat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No Spacing"/>
    <w:basedOn w:val="711"/>
    <w:qFormat/>
    <w:uiPriority w:val="1"/>
    <w:pPr>
      <w:spacing w:lineRule="auto" w:line="240" w:after="0"/>
    </w:pPr>
  </w:style>
  <w:style w:type="paragraph" w:styleId="715">
    <w:name w:val="List Paragraph"/>
    <w:basedOn w:val="711"/>
    <w:qFormat/>
    <w:uiPriority w:val="34"/>
    <w:pPr>
      <w:contextualSpacing w:val="true"/>
      <w:ind w:left="720"/>
    </w:pPr>
  </w:style>
  <w:style w:type="character" w:styleId="7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Абылгазина Айгуль Есимжановна</cp:lastModifiedBy>
  <cp:revision>32</cp:revision>
  <dcterms:modified xsi:type="dcterms:W3CDTF">2024-09-03T04:05:43Z</dcterms:modified>
</cp:coreProperties>
</file>