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Приложение 1</w:t>
      </w:r>
    </w:p>
    <w:p w:rsidR="00000000" w:rsidDel="00000000" w:rsidP="00000000" w:rsidRDefault="00000000" w:rsidRPr="00000000" w14:paraId="00000002">
      <w:pPr>
        <w:shd w:fill="ffffff" w:val="clea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hd w:fill="ffffff" w:val="clea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Style w:val="Heading3"/>
        <w:spacing w:before="0" w:line="240" w:lineRule="auto"/>
        <w:jc w:val="center"/>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Справка </w:t>
      </w:r>
    </w:p>
    <w:p w:rsidR="00000000" w:rsidDel="00000000" w:rsidP="00000000" w:rsidRDefault="00000000" w:rsidRPr="00000000" w14:paraId="00000005">
      <w:pPr>
        <w:pStyle w:val="Heading3"/>
        <w:spacing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 соискателе ученого звания </w:t>
      </w:r>
      <w:r w:rsidDel="00000000" w:rsidR="00000000" w:rsidRPr="00000000">
        <w:rPr>
          <w:rFonts w:ascii="Times New Roman" w:cs="Times New Roman" w:eastAsia="Times New Roman" w:hAnsi="Times New Roman"/>
          <w:b w:val="0"/>
          <w:color w:val="000000"/>
          <w:sz w:val="24"/>
          <w:szCs w:val="24"/>
          <w:rtl w:val="0"/>
        </w:rPr>
        <w:t xml:space="preserve">«Ассоцированный профессор»</w:t>
      </w:r>
      <w:r w:rsidDel="00000000" w:rsidR="00000000" w:rsidRPr="00000000">
        <w:rPr>
          <w:rtl w:val="0"/>
        </w:rPr>
      </w:r>
    </w:p>
    <w:p w:rsidR="00000000" w:rsidDel="00000000" w:rsidP="00000000" w:rsidRDefault="00000000" w:rsidRPr="00000000" w14:paraId="00000006">
      <w:pPr>
        <w:pStyle w:val="Heading3"/>
        <w:spacing w:before="0" w:line="240" w:lineRule="auto"/>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 научному направлению     </w:t>
      </w:r>
      <w:r w:rsidDel="00000000" w:rsidR="00000000" w:rsidRPr="00000000">
        <w:rPr>
          <w:rFonts w:ascii="Times New Roman" w:cs="Times New Roman" w:eastAsia="Times New Roman" w:hAnsi="Times New Roman"/>
          <w:b w:val="0"/>
          <w:color w:val="000000"/>
          <w:sz w:val="24"/>
          <w:szCs w:val="24"/>
          <w:rtl w:val="0"/>
        </w:rPr>
        <w:t xml:space="preserve">30100 -Медицинские науки</w:t>
      </w:r>
    </w:p>
    <w:p w:rsidR="00000000" w:rsidDel="00000000" w:rsidP="00000000" w:rsidRDefault="00000000" w:rsidRPr="00000000" w14:paraId="00000007">
      <w:pPr>
        <w:rPr/>
      </w:pPr>
      <w:r w:rsidDel="00000000" w:rsidR="00000000" w:rsidRPr="00000000">
        <w:rPr>
          <w:rtl w:val="0"/>
        </w:rPr>
      </w:r>
    </w:p>
    <w:tbl>
      <w:tblPr>
        <w:tblStyle w:val="Table1"/>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3690"/>
        <w:gridCol w:w="4830"/>
        <w:tblGridChange w:id="0">
          <w:tblGrid>
            <w:gridCol w:w="540"/>
            <w:gridCol w:w="3690"/>
            <w:gridCol w:w="4830"/>
          </w:tblGrid>
        </w:tblGridChange>
      </w:tblGrid>
      <w:tr>
        <w:trPr>
          <w:cantSplit w:val="0"/>
          <w:trHeight w:val="668" w:hRule="atLeast"/>
          <w:tblHeader w:val="0"/>
        </w:trPr>
        <w:tc>
          <w:tcPr>
            <w:vAlign w:val="center"/>
          </w:tcPr>
          <w:p w:rsidR="00000000" w:rsidDel="00000000" w:rsidP="00000000" w:rsidRDefault="00000000" w:rsidRPr="00000000" w14:paraId="0000000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00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Фамилия, имя, отчество </w:t>
            </w:r>
          </w:p>
        </w:tc>
        <w:tc>
          <w:tcPr>
            <w:vAlign w:val="center"/>
          </w:tcPr>
          <w:p w:rsidR="00000000" w:rsidDel="00000000" w:rsidP="00000000" w:rsidRDefault="00000000" w:rsidRPr="00000000" w14:paraId="0000000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Тулебаева Айгуль</w:t>
            </w:r>
          </w:p>
        </w:tc>
      </w:tr>
      <w:tr>
        <w:trPr>
          <w:cantSplit w:val="0"/>
          <w:tblHeader w:val="0"/>
        </w:trPr>
        <w:tc>
          <w:tcPr>
            <w:vAlign w:val="center"/>
          </w:tcPr>
          <w:p w:rsidR="00000000" w:rsidDel="00000000" w:rsidP="00000000" w:rsidRDefault="00000000" w:rsidRPr="00000000" w14:paraId="0000000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00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p w:rsidR="00000000" w:rsidDel="00000000" w:rsidP="00000000" w:rsidRDefault="00000000" w:rsidRPr="00000000" w14:paraId="0000000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кандидат медицинских наук</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(протокол №11 от 23 мая 2001 года) </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ҒК </w:t>
            </w:r>
            <w:r w:rsidDel="00000000" w:rsidR="00000000" w:rsidRPr="00000000">
              <w:rPr>
                <w:rFonts w:ascii="Times New Roman" w:cs="Times New Roman" w:eastAsia="Times New Roman" w:hAnsi="Times New Roman"/>
                <w:sz w:val="24"/>
                <w:szCs w:val="24"/>
                <w:rtl w:val="0"/>
              </w:rPr>
              <w:t xml:space="preserve">№0008440</w:t>
            </w:r>
            <w:r w:rsidDel="00000000" w:rsidR="00000000" w:rsidRPr="00000000">
              <w:rPr>
                <w:rtl w:val="0"/>
              </w:rPr>
            </w:r>
          </w:p>
        </w:tc>
      </w:tr>
      <w:tr>
        <w:trPr>
          <w:cantSplit w:val="0"/>
          <w:trHeight w:val="704" w:hRule="atLeast"/>
          <w:tblHeader w:val="0"/>
        </w:trPr>
        <w:tc>
          <w:tcPr>
            <w:vAlign w:val="center"/>
          </w:tcPr>
          <w:p w:rsidR="00000000" w:rsidDel="00000000" w:rsidP="00000000" w:rsidRDefault="00000000" w:rsidRPr="00000000" w14:paraId="0000001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center"/>
          </w:tcPr>
          <w:p w:rsidR="00000000" w:rsidDel="00000000" w:rsidP="00000000" w:rsidRDefault="00000000" w:rsidRPr="00000000" w14:paraId="0000001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Ученое звание, дата присуждения</w:t>
            </w:r>
          </w:p>
        </w:tc>
        <w:tc>
          <w:tcPr>
            <w:vAlign w:val="center"/>
          </w:tcPr>
          <w:p w:rsidR="00000000" w:rsidDel="00000000" w:rsidP="00000000" w:rsidRDefault="00000000" w:rsidRPr="00000000" w14:paraId="0000001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имею</w:t>
            </w:r>
          </w:p>
        </w:tc>
      </w:tr>
      <w:tr>
        <w:trPr>
          <w:cantSplit w:val="0"/>
          <w:tblHeader w:val="0"/>
        </w:trPr>
        <w:tc>
          <w:tcPr>
            <w:vAlign w:val="center"/>
          </w:tcPr>
          <w:p w:rsidR="00000000" w:rsidDel="00000000" w:rsidP="00000000" w:rsidRDefault="00000000" w:rsidRPr="00000000" w14:paraId="0000001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vAlign w:val="center"/>
          </w:tcPr>
          <w:p w:rsidR="00000000" w:rsidDel="00000000" w:rsidP="00000000" w:rsidRDefault="00000000" w:rsidRPr="00000000" w14:paraId="0000001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Почетное звание, дата присуждения</w:t>
            </w:r>
          </w:p>
        </w:tc>
        <w:tc>
          <w:tcPr>
            <w:vAlign w:val="center"/>
          </w:tcPr>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36"/>
                <w:tab w:val="left" w:leader="none" w:pos="516"/>
              </w:tabs>
              <w:spacing w:after="0" w:before="0" w:line="240" w:lineRule="auto"/>
              <w:ind w:left="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Нагрудный знак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Казакстан Республикасы Денсаулык сактау iciнiн үздігі» (удостоверение № 746, от 2010 год)</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36"/>
                <w:tab w:val="left" w:leader="none" w:pos="516"/>
              </w:tabs>
              <w:spacing w:after="0" w:before="0" w:line="240" w:lineRule="auto"/>
              <w:ind w:left="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Нагрудной знак «Денсаулық сактау ісіне қосқан ілесі үшін» (№013, приказ №845 от 29.09.22)</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36"/>
                <w:tab w:val="left" w:leader="none" w:pos="516"/>
              </w:tabs>
              <w:spacing w:after="0" w:before="0" w:line="240" w:lineRule="auto"/>
              <w:ind w:left="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Награждена почетной грамотой МЗРК «Казақстан Республикасының денсаулық сақтау министрлігінің қүрметграматасымен марапатталды» приказ 584 от 09.10.2013</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36"/>
                <w:tab w:val="left" w:leader="none" w:pos="516"/>
              </w:tabs>
              <w:spacing w:after="0" w:before="0" w:line="240" w:lineRule="auto"/>
              <w:ind w:left="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Награждена почетной грамотой МЗРК. «Казақстан Республикасының денсаулық сақтау саласындағы жемісті еңбегі мен еліміздің денсаулық сақтау жүйусің дамытуға қосқан үлесі үшін» (2018)</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36"/>
                <w:tab w:val="left" w:leader="none" w:pos="516"/>
              </w:tabs>
              <w:spacing w:after="0" w:before="0" w:line="240" w:lineRule="auto"/>
              <w:ind w:left="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Памятная медаль НЦПиДХ (№13, от 04.10..2022)</w:t>
            </w:r>
          </w:p>
        </w:tc>
      </w:tr>
      <w:tr>
        <w:trPr>
          <w:cantSplit w:val="0"/>
          <w:tblHeader w:val="0"/>
        </w:trPr>
        <w:tc>
          <w:tcPr>
            <w:vAlign w:val="center"/>
          </w:tcPr>
          <w:p w:rsidR="00000000" w:rsidDel="00000000" w:rsidP="00000000" w:rsidRDefault="00000000" w:rsidRPr="00000000" w14:paraId="0000001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vAlign w:val="center"/>
          </w:tcPr>
          <w:p w:rsidR="00000000" w:rsidDel="00000000" w:rsidP="00000000" w:rsidRDefault="00000000" w:rsidRPr="00000000" w14:paraId="0000001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Должность (дата и номер приказа о назначении на должность)</w:t>
            </w:r>
          </w:p>
        </w:tc>
        <w:tc>
          <w:tcPr>
            <w:vAlign w:val="center"/>
          </w:tcPr>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48"/>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Врач онко-гематологического центра НЦПиДХ приказ 36 от 07.08.1995 (01.09.1995-18.09.1995)</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48"/>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Младший научный сотрудник в отд. онкогематологии НЦПиДХ приказ 40 от18.09.95 (18.09.1995-01.07.2001)</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48"/>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Научный сотрудник в отд. онкогематологии НЦПиДХ №35 от 30.07.2001 (01.07.2001-20.11.2003)</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48"/>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Заведующая гематологического отделения НЦПиДХ Пр. №67, 20.11.2003 (20.11.2003-26.01.2004)</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48"/>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Старший научный сотрудник отделения онкогематологии Научного Центра педиатрии и детской хирургии, с и.о. заведующего гематологического отделения НЦПиДХ Пр№4, 26.01.2004 (26.01.2004-12.05.2005)</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48"/>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Заведующая онкогематологического отделения НЦПиДХ №12 от12.05.2005 (12.05.2005-01.02.2012)</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48"/>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Заведующая отделением трансплантации гемопоэтических стволовых клеток НЦПиДХ приказ 113 от 10.02.2012(01.12.12.-13.12.2021)</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48"/>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Доцент кафедры детских болезней КазНМУ приказ 2226 от 15.12.21 (с 13.12.2021)</w:t>
            </w:r>
          </w:p>
        </w:tc>
      </w:tr>
      <w:tr>
        <w:trPr>
          <w:cantSplit w:val="0"/>
          <w:tblHeader w:val="0"/>
        </w:trPr>
        <w:tc>
          <w:tcPr>
            <w:vAlign w:val="center"/>
          </w:tcPr>
          <w:p w:rsidR="00000000" w:rsidDel="00000000" w:rsidP="00000000" w:rsidRDefault="00000000" w:rsidRPr="00000000" w14:paraId="0000002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vAlign w:val="center"/>
          </w:tcPr>
          <w:p w:rsidR="00000000" w:rsidDel="00000000" w:rsidP="00000000" w:rsidRDefault="00000000" w:rsidRPr="00000000" w14:paraId="0000002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Стаж научной, научно-педагогической деятельности</w:t>
            </w:r>
          </w:p>
        </w:tc>
        <w:tc>
          <w:tcPr>
            <w:vAlign w:val="center"/>
          </w:tcPr>
          <w:p w:rsidR="00000000" w:rsidDel="00000000" w:rsidP="00000000" w:rsidRDefault="00000000" w:rsidRPr="00000000" w14:paraId="0000002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Общий стаж работы 39 лет </w:t>
            </w:r>
          </w:p>
          <w:p w:rsidR="00000000" w:rsidDel="00000000" w:rsidP="00000000" w:rsidRDefault="00000000" w:rsidRPr="00000000" w14:paraId="0000002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Научная деятельность 10 лет </w:t>
            </w:r>
          </w:p>
          <w:p w:rsidR="00000000" w:rsidDel="00000000" w:rsidP="00000000" w:rsidRDefault="00000000" w:rsidRPr="00000000" w14:paraId="0000002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Педагогическая деятельность 13 лет</w:t>
            </w:r>
          </w:p>
          <w:p w:rsidR="00000000" w:rsidDel="00000000" w:rsidP="00000000" w:rsidRDefault="00000000" w:rsidRPr="00000000" w14:paraId="0000002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Лечебный стаж 20 лет </w:t>
            </w:r>
          </w:p>
          <w:p w:rsidR="00000000" w:rsidDel="00000000" w:rsidP="00000000" w:rsidRDefault="00000000" w:rsidRPr="00000000" w14:paraId="0000002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Руководящая должность (зав отделением) 18 лет</w:t>
            </w:r>
          </w:p>
          <w:p w:rsidR="00000000" w:rsidDel="00000000" w:rsidP="00000000" w:rsidRDefault="00000000" w:rsidRPr="00000000" w14:paraId="0000002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должности доцента кафедры более 3 лет</w:t>
            </w:r>
          </w:p>
        </w:tc>
      </w:tr>
      <w:tr>
        <w:trPr>
          <w:cantSplit w:val="0"/>
          <w:tblHeader w:val="0"/>
        </w:trPr>
        <w:tc>
          <w:tcPr>
            <w:vAlign w:val="center"/>
          </w:tcPr>
          <w:p w:rsidR="00000000" w:rsidDel="00000000" w:rsidP="00000000" w:rsidRDefault="00000000" w:rsidRPr="00000000" w14:paraId="0000002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vAlign w:val="center"/>
          </w:tcPr>
          <w:p w:rsidR="00000000" w:rsidDel="00000000" w:rsidP="00000000" w:rsidRDefault="00000000" w:rsidRPr="00000000" w14:paraId="0000002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Количество научных статей после защиты диссертации/получения ученого звания ассоциированного профессора (доцента)</w:t>
            </w:r>
          </w:p>
        </w:tc>
        <w:tc>
          <w:tcPr>
            <w:vAlign w:val="center"/>
          </w:tcPr>
          <w:p w:rsidR="00000000" w:rsidDel="00000000" w:rsidP="00000000" w:rsidRDefault="00000000" w:rsidRPr="00000000" w14:paraId="0000002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Всего – </w:t>
            </w:r>
            <w:r w:rsidDel="00000000" w:rsidR="00000000" w:rsidRPr="00000000">
              <w:rPr>
                <w:rFonts w:ascii="Times New Roman" w:cs="Times New Roman" w:eastAsia="Times New Roman" w:hAnsi="Times New Roman"/>
                <w:b w:val="1"/>
                <w:color w:val="000000"/>
                <w:sz w:val="24"/>
                <w:szCs w:val="24"/>
                <w:rtl w:val="0"/>
              </w:rPr>
              <w:t xml:space="preserve">25</w:t>
            </w:r>
            <w:r w:rsidDel="00000000" w:rsidR="00000000" w:rsidRPr="00000000">
              <w:rPr>
                <w:rFonts w:ascii="Times New Roman" w:cs="Times New Roman" w:eastAsia="Times New Roman" w:hAnsi="Times New Roman"/>
                <w:color w:val="000000"/>
                <w:sz w:val="24"/>
                <w:szCs w:val="24"/>
                <w:rtl w:val="0"/>
              </w:rPr>
              <w:t xml:space="preserve"> статей, </w:t>
            </w:r>
          </w:p>
          <w:p w:rsidR="00000000" w:rsidDel="00000000" w:rsidP="00000000" w:rsidRDefault="00000000" w:rsidRPr="00000000" w14:paraId="0000002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том числе в изданиях рекомендуемых уполномоченным органом - </w:t>
            </w:r>
            <w:r w:rsidDel="00000000" w:rsidR="00000000" w:rsidRPr="00000000">
              <w:rPr>
                <w:rFonts w:ascii="Times New Roman" w:cs="Times New Roman" w:eastAsia="Times New Roman" w:hAnsi="Times New Roman"/>
                <w:b w:val="1"/>
                <w:color w:val="000000"/>
                <w:sz w:val="24"/>
                <w:szCs w:val="24"/>
                <w:rtl w:val="0"/>
              </w:rPr>
              <w:t xml:space="preserve">12</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научных журналах, входящих в базы компании Clarivate Analytics (Кларивэйт Аналитикс) (Web of Science Core Collection, Clarivate Analytics (Вэб оф Сайнс Кор Коллекшн, Кларивэйт Аналитикс)), Scopus (Скопус) или JSTOR (ДЖЕЙСТОР) - </w:t>
            </w:r>
            <w:r w:rsidDel="00000000" w:rsidR="00000000" w:rsidRPr="00000000">
              <w:rPr>
                <w:rFonts w:ascii="Times New Roman" w:cs="Times New Roman" w:eastAsia="Times New Roman" w:hAnsi="Times New Roman"/>
                <w:b w:val="1"/>
                <w:color w:val="000000"/>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творческих трудов (авторских свидетельств) </w:t>
            </w:r>
            <w:r w:rsidDel="00000000" w:rsidR="00000000" w:rsidRPr="00000000">
              <w:rPr>
                <w:rFonts w:ascii="Times New Roman" w:cs="Times New Roman" w:eastAsia="Times New Roman" w:hAnsi="Times New Roman"/>
                <w:b w:val="1"/>
                <w:color w:val="000000"/>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w:t>
            </w:r>
          </w:p>
        </w:tc>
      </w:tr>
      <w:tr>
        <w:trPr>
          <w:cantSplit w:val="0"/>
          <w:tblHeader w:val="0"/>
        </w:trPr>
        <w:tc>
          <w:tcPr>
            <w:vAlign w:val="center"/>
          </w:tcPr>
          <w:p w:rsidR="00000000" w:rsidDel="00000000" w:rsidP="00000000" w:rsidRDefault="00000000" w:rsidRPr="00000000" w14:paraId="0000003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vAlign w:val="center"/>
          </w:tcPr>
          <w:p w:rsidR="00000000" w:rsidDel="00000000" w:rsidP="00000000" w:rsidRDefault="00000000" w:rsidRPr="00000000" w14:paraId="0000003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Количество, изданных за последние 5 лет монографий, учебников, единолично написанных учебных (учебно-методическое) пособий</w:t>
            </w:r>
          </w:p>
        </w:tc>
        <w:tc>
          <w:tcPr>
            <w:vAlign w:val="center"/>
          </w:tcPr>
          <w:p w:rsidR="00000000" w:rsidDel="00000000" w:rsidP="00000000" w:rsidRDefault="00000000" w:rsidRPr="00000000" w14:paraId="0000003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Разработаны и утверждены, внедрены в практическую деятельность РК </w:t>
            </w:r>
          </w:p>
          <w:p w:rsidR="00000000" w:rsidDel="00000000" w:rsidP="00000000" w:rsidRDefault="00000000" w:rsidRPr="00000000" w14:paraId="00000035">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Клинических протоколов - 4</w:t>
            </w: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14:paraId="00000036">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Клинические протокола по аутологичной, гаплоидентичной, аллогенной ТГСК, </w:t>
            </w:r>
          </w:p>
          <w:p w:rsidR="00000000" w:rsidDel="00000000" w:rsidP="00000000" w:rsidRDefault="00000000" w:rsidRPr="00000000" w14:paraId="0000003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Разработан и на Утверждении (2025) КП диагностики и лечения острого лимфобластного лейкоза SR и HR групп.</w:t>
            </w: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vAlign w:val="center"/>
          </w:tcPr>
          <w:p w:rsidR="00000000" w:rsidDel="00000000" w:rsidP="00000000" w:rsidRDefault="00000000" w:rsidRPr="00000000" w14:paraId="0000003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p w:rsidR="00000000" w:rsidDel="00000000" w:rsidP="00000000" w:rsidRDefault="00000000" w:rsidRPr="00000000" w14:paraId="0000003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r>
      <w:tr>
        <w:trPr>
          <w:cantSplit w:val="0"/>
          <w:tblHeader w:val="0"/>
        </w:trPr>
        <w:tc>
          <w:tcPr>
            <w:vAlign w:val="center"/>
          </w:tcPr>
          <w:p w:rsidR="00000000" w:rsidDel="00000000" w:rsidP="00000000" w:rsidRDefault="00000000" w:rsidRPr="00000000" w14:paraId="0000003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vAlign w:val="center"/>
          </w:tcPr>
          <w:p w:rsidR="00000000" w:rsidDel="00000000" w:rsidP="00000000" w:rsidRDefault="00000000" w:rsidRPr="00000000" w14:paraId="0000003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vAlign w:val="center"/>
          </w:tcPr>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84"/>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Диплом II степени «за лучший доклад»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Санақбай Жұлдыз Жомартқызы,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Резидент 1 года по спец. Онкология и гематология детская, КАЗНМУ им. С.Д. Асфендиярова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4"/>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научно-практической конференции студентов, интернов и резидентов «YOUNG PEDIATRIC RESEARCHER» (08.12.2023)</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84"/>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Диплом I место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Санақбай Жұлдыз Жомартқызы,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Резидент 1 года по спец. Онкология и гематология детская, КАЗНМУ им. С.Д. Асфендиярова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4"/>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международной студенческой конференции «фундаментальные и клинические аспекты орфанных заболеваний» (29 февраля 2024 года)</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84"/>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Диплом 1 место постерный доклад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Әбевзитова Аида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Резидент 2 года по спец. Онкология и гематология детская, КАЗНМУ им. С.Д. Асфендиярова на X съезде детских врачей Казахстана» достижения и перспективы развития педиатрии и детской хирургии» на секции «Школа молодых ученых для докторантов, магистрантов и резидентов «молодой исследователь: вызовы и перспективы развития современной педиатрии и детской хирургии (17-18.10.2024г.), г. Алматы</w:t>
            </w:r>
          </w:p>
        </w:tc>
      </w:tr>
      <w:tr>
        <w:trPr>
          <w:cantSplit w:val="0"/>
          <w:tblHeader w:val="0"/>
        </w:trPr>
        <w:tc>
          <w:tcPr>
            <w:vAlign w:val="center"/>
          </w:tcPr>
          <w:p w:rsidR="00000000" w:rsidDel="00000000" w:rsidP="00000000" w:rsidRDefault="00000000" w:rsidRPr="00000000" w14:paraId="0000004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c>
          <w:tcPr>
            <w:vAlign w:val="center"/>
          </w:tcPr>
          <w:p w:rsidR="00000000" w:rsidDel="00000000" w:rsidP="00000000" w:rsidRDefault="00000000" w:rsidRPr="00000000" w14:paraId="0000004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p w:rsidR="00000000" w:rsidDel="00000000" w:rsidP="00000000" w:rsidRDefault="00000000" w:rsidRPr="00000000" w14:paraId="0000004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r>
      <w:tr>
        <w:trPr>
          <w:cantSplit w:val="0"/>
          <w:tblHeader w:val="0"/>
        </w:trPr>
        <w:tc>
          <w:tcPr>
            <w:vAlign w:val="center"/>
          </w:tcPr>
          <w:p w:rsidR="00000000" w:rsidDel="00000000" w:rsidP="00000000" w:rsidRDefault="00000000" w:rsidRPr="00000000" w14:paraId="0000004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w:t>
            </w:r>
          </w:p>
        </w:tc>
        <w:tc>
          <w:tcPr>
            <w:vAlign w:val="center"/>
          </w:tcPr>
          <w:p w:rsidR="00000000" w:rsidDel="00000000" w:rsidP="00000000" w:rsidRDefault="00000000" w:rsidRPr="00000000" w14:paraId="0000004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Дополнительная информация</w:t>
            </w:r>
          </w:p>
        </w:tc>
        <w:tc>
          <w:tcPr>
            <w:vAlign w:val="center"/>
          </w:tcPr>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4"/>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Член Научного Комитета по направлению «Педиатрия» КазНМУ (приказ №507 от 29.09.2023г.).</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4"/>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Член ученого совета НЦПиДХ 2012-2024 (20204 Приказ 299)</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4"/>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Член Казахстанского общества детских онкологов- гематологов (2024)</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4"/>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Член группы по экспертизе при НЦНЭ (2022, 2023, 2024, 2025гг)</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4"/>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Рецензент журнала «Педиатрия и детская хирургия Казахстана»</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4"/>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член рабочей группы по адаптации карманного справочника в Республике Казахстан № 736 от 21.12.2023 МЗРК.</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4"/>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Куратор Ю-З региона РК по онкогематологии НЦПиДХ 2017-2022.</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4"/>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Член наблюдательного совета детской больницы г. Караганда (2021)</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4"/>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Член организационных комитетов конференций НЦПиДХ</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4"/>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Разработчик Клинических протоколов по специальности детской онкологии/гематологии (ОЛ, аутоТГСК, гаплоТГСК, аллоТГСК)</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66"/>
              </w:tabs>
              <w:spacing w:after="0" w:before="0" w:line="240" w:lineRule="auto"/>
              <w:ind w:left="16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Разработчик методических рекомендаций (Акт внедрения авторское свидетельство: № 21523 от «9» ноября 2021 года. «Амбулаторное наблюдение за пациентами после трансплантации») </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4"/>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7c3a41c0s8pf"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Авторское свидетельство: Сценарий проведения практического занятия с элементами командного метода обучения TBL (Team-based learning) на тему: «Иммунная тромбоцитопеническая пурпура у детей. Гемофилия у детей.» со студентами 4 курса специальности «Общая медицина» по дисциплине «Основы детских болезней» (№ 46365 от «24» мая 2024 года)</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4"/>
              </w:tabs>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Авторское свидетельство: Сценарий проведения практического занятия с элементами командного метода обучения TBL(Team-basedlearning) на тему: «Дефицитные анемии у детей: железодефицитная, витамин В12-, фолиеводефицитная анемии» со студентами 4 курса специальности «Общая медицина» по дисциплине «Основы детских болезней» (№ 46118 от «21» мая 2024 года)</w:t>
            </w:r>
          </w:p>
        </w:tc>
      </w:tr>
    </w:tbl>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Заведующая кафедрой детских болезней</w:t>
      </w:r>
    </w:p>
    <w:p w:rsidR="00000000" w:rsidDel="00000000" w:rsidP="00000000" w:rsidRDefault="00000000" w:rsidRPr="00000000" w14:paraId="00000058">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 им. проф. Н.А. Барлыбаевой, д.м.н.</w:t>
      </w:r>
      <w:r w:rsidDel="00000000" w:rsidR="00000000" w:rsidRPr="00000000">
        <w:rPr>
          <w:rFonts w:ascii="Times New Roman" w:cs="Times New Roman" w:eastAsia="Times New Roman" w:hAnsi="Times New Roman"/>
          <w:b w:val="1"/>
          <w:color w:val="000000"/>
          <w:sz w:val="24"/>
          <w:szCs w:val="24"/>
          <w:rtl w:val="0"/>
        </w:rPr>
        <w:t xml:space="preserve">       ___________________      </w:t>
      </w:r>
      <w:r w:rsidDel="00000000" w:rsidR="00000000" w:rsidRPr="00000000">
        <w:rPr>
          <w:rFonts w:ascii="Times New Roman" w:cs="Times New Roman" w:eastAsia="Times New Roman" w:hAnsi="Times New Roman"/>
          <w:sz w:val="24"/>
          <w:szCs w:val="24"/>
          <w:rtl w:val="0"/>
        </w:rPr>
        <w:t xml:space="preserve">Ташенова Г.Т</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59">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5B">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Руководитель управления кадровой работы  ______________</w:t>
      </w:r>
      <w:r w:rsidDel="00000000" w:rsidR="00000000" w:rsidRPr="00000000">
        <w:rPr>
          <w:rFonts w:ascii="Times New Roman" w:cs="Times New Roman" w:eastAsia="Times New Roman" w:hAnsi="Times New Roman"/>
          <w:sz w:val="24"/>
          <w:szCs w:val="24"/>
          <w:rtl w:val="0"/>
        </w:rPr>
        <w:t xml:space="preserve">Сапакова М.М.</w:t>
      </w:r>
      <w:r w:rsidDel="00000000" w:rsidR="00000000" w:rsidRPr="00000000">
        <w:rPr>
          <w:rtl w:val="0"/>
        </w:rPr>
      </w:r>
    </w:p>
    <w:p w:rsidR="00000000" w:rsidDel="00000000" w:rsidP="00000000" w:rsidRDefault="00000000" w:rsidRPr="00000000" w14:paraId="0000005C">
      <w:pPr>
        <w:spacing w:after="0" w:line="240" w:lineRule="auto"/>
        <w:jc w:val="both"/>
        <w:rPr>
          <w:rFonts w:ascii="Times New Roman" w:cs="Times New Roman" w:eastAsia="Times New Roman" w:hAnsi="Times New Roman"/>
          <w:sz w:val="24"/>
          <w:szCs w:val="24"/>
        </w:rPr>
      </w:pPr>
      <w:r w:rsidDel="00000000" w:rsidR="00000000" w:rsidRPr="00000000">
        <w:rPr>
          <w:rtl w:val="0"/>
        </w:rPr>
      </w:r>
    </w:p>
    <w:sectPr>
      <w:headerReference r:id="rId7" w:type="default"/>
      <w:pgSz w:h="16838" w:w="11906" w:orient="portrait"/>
      <w:pgMar w:bottom="1440" w:top="1440" w:left="1797" w:right="179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2"/>
      <w:tblW w:w="10206.0" w:type="dxa"/>
      <w:jc w:val="left"/>
      <w:tblInd w:w="-58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
      <w:gridCol w:w="4015"/>
      <w:gridCol w:w="3402"/>
      <w:gridCol w:w="1655"/>
      <w:tblGridChange w:id="0">
        <w:tblGrid>
          <w:gridCol w:w="1134"/>
          <w:gridCol w:w="4015"/>
          <w:gridCol w:w="3402"/>
          <w:gridCol w:w="1655"/>
        </w:tblGrid>
      </w:tblGridChange>
    </w:tblGrid>
    <w:tr>
      <w:trPr>
        <w:cantSplit w:val="0"/>
        <w:tblHeader w:val="0"/>
      </w:trPr>
      <w:tc>
        <w:tcPr>
          <w:vMerge w:val="restart"/>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Pr>
            <w:drawing>
              <wp:inline distB="0" distT="0" distL="0" distR="0">
                <wp:extent cx="600075" cy="72390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0075" cy="723900"/>
                        </a:xfrm>
                        <a:prstGeom prst="rect"/>
                        <a:ln/>
                      </pic:spPr>
                    </pic:pic>
                  </a:graphicData>
                </a:graphic>
              </wp:inline>
            </w:drawing>
          </w:r>
          <w:r w:rsidDel="00000000" w:rsidR="00000000" w:rsidRPr="00000000">
            <w:rPr>
              <w:rtl w:val="0"/>
            </w:rPr>
          </w:r>
        </w:p>
      </w:tc>
      <w:tc>
        <w:tcPr>
          <w:gridSpan w:val="3"/>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ahoma" w:cs="Tahoma" w:eastAsia="Tahoma" w:hAnsi="Tahoma"/>
              <w:b w:val="1"/>
              <w:i w:val="0"/>
              <w:smallCaps w:val="0"/>
              <w:strike w:val="0"/>
              <w:color w:val="000000"/>
              <w:sz w:val="17"/>
              <w:szCs w:val="17"/>
              <w:u w:val="none"/>
              <w:shd w:fill="auto" w:val="clear"/>
              <w:vertAlign w:val="baseline"/>
            </w:rPr>
          </w:pPr>
          <w:r w:rsidDel="00000000" w:rsidR="00000000" w:rsidRPr="00000000">
            <w:rPr>
              <w:rFonts w:ascii="Tahoma" w:cs="Tahoma" w:eastAsia="Tahoma" w:hAnsi="Tahoma"/>
              <w:b w:val="1"/>
              <w:i w:val="0"/>
              <w:smallCaps w:val="0"/>
              <w:strike w:val="0"/>
              <w:color w:val="000000"/>
              <w:sz w:val="17"/>
              <w:szCs w:val="17"/>
              <w:u w:val="none"/>
              <w:shd w:fill="auto" w:val="clear"/>
              <w:vertAlign w:val="baseline"/>
              <w:rtl w:val="0"/>
            </w:rPr>
            <w:t xml:space="preserve">«С.Ж. АСФЕНДИЯРОВ АТЫНДАҒЫ ҚАЗАҚ ҰЛТТЫҚ МЕДИЦИНА УНИВЕРСИТЕТІ» КЕАҚ</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Fonts w:ascii="Tahoma" w:cs="Tahoma" w:eastAsia="Tahoma" w:hAnsi="Tahoma"/>
              <w:b w:val="1"/>
              <w:i w:val="0"/>
              <w:smallCaps w:val="0"/>
              <w:strike w:val="0"/>
              <w:color w:val="000000"/>
              <w:sz w:val="17"/>
              <w:szCs w:val="17"/>
              <w:u w:val="none"/>
              <w:shd w:fill="auto" w:val="clear"/>
              <w:vertAlign w:val="baseline"/>
              <w:rtl w:val="0"/>
            </w:rPr>
            <w:t xml:space="preserve">НАО «КАЗАХСКИЙ НАЦИОНАЛЬНЫЙ МЕДИЦИНСКИЙ УНИВЕРСИТЕТ ИМЕНИ С.Д.АСФЕНДИЯРОВА»</w:t>
          </w:r>
          <w:r w:rsidDel="00000000" w:rsidR="00000000" w:rsidRPr="00000000">
            <w:rPr>
              <w:rtl w:val="0"/>
            </w:rPr>
          </w:r>
        </w:p>
      </w:tc>
    </w:tr>
    <w:tr>
      <w:trPr>
        <w:cantSplit w:val="0"/>
        <w:trHeight w:val="264" w:hRule="atLeast"/>
        <w:tblHeader w:val="0"/>
      </w:trPr>
      <w:tc>
        <w:tcPr>
          <w:vMerge w:val="continue"/>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Управление кадровой работы</w:t>
          </w:r>
        </w:p>
      </w:tc>
      <w:tc>
        <w:tcPr>
          <w:vMerge w:val="restart"/>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Приложение 1</w:t>
          </w:r>
        </w:p>
      </w:tc>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030a0"/>
              <w:sz w:val="17"/>
              <w:szCs w:val="17"/>
              <w:u w:val="none"/>
              <w:shd w:fill="auto" w:val="clear"/>
              <w:vertAlign w:val="baseline"/>
              <w:rtl w:val="0"/>
            </w:rPr>
            <w:t xml:space="preserve">Редакция: 1</w:t>
          </w:r>
          <w:r w:rsidDel="00000000" w:rsidR="00000000" w:rsidRPr="00000000">
            <w:rPr>
              <w:rtl w:val="0"/>
            </w:rPr>
          </w:r>
        </w:p>
      </w:tc>
    </w:tr>
    <w:tr>
      <w:trPr>
        <w:cantSplit w:val="0"/>
        <w:trHeight w:val="205" w:hRule="atLeast"/>
        <w:tblHeader w:val="0"/>
      </w:trPr>
      <w:tc>
        <w:tcPr>
          <w:vMerge w:val="continue"/>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tc>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030a0"/>
              <w:sz w:val="17"/>
              <w:szCs w:val="17"/>
              <w:u w:val="none"/>
              <w:shd w:fill="auto" w:val="clear"/>
              <w:vertAlign w:val="baseline"/>
              <w:rtl w:val="0"/>
            </w:rPr>
            <w:t xml:space="preserve">Страница </w:t>
          </w:r>
          <w:r w:rsidDel="00000000" w:rsidR="00000000" w:rsidRPr="00000000">
            <w:rPr>
              <w:rFonts w:ascii="Times New Roman" w:cs="Times New Roman" w:eastAsia="Times New Roman" w:hAnsi="Times New Roman"/>
              <w:b w:val="0"/>
              <w:i w:val="0"/>
              <w:smallCaps w:val="0"/>
              <w:strike w:val="0"/>
              <w:color w:val="7030a0"/>
              <w:sz w:val="17"/>
              <w:szCs w:val="17"/>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7030a0"/>
              <w:sz w:val="17"/>
              <w:szCs w:val="17"/>
              <w:u w:val="none"/>
              <w:shd w:fill="auto" w:val="clear"/>
              <w:vertAlign w:val="baseline"/>
              <w:rtl w:val="0"/>
            </w:rPr>
            <w:t xml:space="preserve"> из </w:t>
          </w:r>
          <w:r w:rsidDel="00000000" w:rsidR="00000000" w:rsidRPr="00000000">
            <w:rPr>
              <w:rFonts w:ascii="Times New Roman" w:cs="Times New Roman" w:eastAsia="Times New Roman" w:hAnsi="Times New Roman"/>
              <w:b w:val="0"/>
              <w:i w:val="0"/>
              <w:smallCaps w:val="0"/>
              <w:strike w:val="0"/>
              <w:color w:val="7030a0"/>
              <w:sz w:val="17"/>
              <w:szCs w:val="17"/>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5b9bd5"/>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spacing w:after="200" w:line="276" w:lineRule="auto"/>
    </w:pPr>
    <w:rPr>
      <w:rFonts w:asciiTheme="minorHAnsi" w:cstheme="minorBidi" w:eastAsiaTheme="minorHAnsi" w:hAnsiTheme="minorHAnsi"/>
      <w:sz w:val="22"/>
      <w:szCs w:val="22"/>
      <w:lang w:eastAsia="en-US"/>
    </w:rPr>
  </w:style>
  <w:style w:type="paragraph" w:styleId="3">
    <w:name w:val="heading 3"/>
    <w:basedOn w:val="a"/>
    <w:next w:val="a"/>
    <w:uiPriority w:val="9"/>
    <w:unhideWhenUsed w:val="1"/>
    <w:qFormat w:val="1"/>
    <w:pPr>
      <w:keepNext w:val="1"/>
      <w:keepLines w:val="1"/>
      <w:spacing w:after="0" w:before="200"/>
      <w:outlineLvl w:val="2"/>
    </w:pPr>
    <w:rPr>
      <w:rFonts w:asciiTheme="majorHAnsi" w:cstheme="majorBidi" w:eastAsiaTheme="majorEastAsia" w:hAnsiTheme="majorHAnsi"/>
      <w:b w:val="1"/>
      <w:bCs w:val="1"/>
      <w:color w:val="5b9bd5" w:themeColor="accent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rmal (Web)"/>
    <w:basedOn w:val="a"/>
    <w:uiPriority w:val="99"/>
    <w:unhideWhenUsed w:val="1"/>
    <w:qFormat w:val="1"/>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a4">
    <w:name w:val="header"/>
    <w:basedOn w:val="a"/>
    <w:link w:val="a5"/>
    <w:uiPriority w:val="99"/>
    <w:rsid w:val="00C66DDF"/>
    <w:pPr>
      <w:tabs>
        <w:tab w:val="center" w:pos="4513"/>
        <w:tab w:val="right" w:pos="9026"/>
      </w:tabs>
      <w:spacing w:after="0" w:line="240" w:lineRule="auto"/>
    </w:pPr>
  </w:style>
  <w:style w:type="character" w:styleId="a5" w:customStyle="1">
    <w:name w:val="Верхний колонтитул Знак"/>
    <w:basedOn w:val="a0"/>
    <w:link w:val="a4"/>
    <w:uiPriority w:val="99"/>
    <w:rsid w:val="00C66DDF"/>
    <w:rPr>
      <w:rFonts w:asciiTheme="minorHAnsi" w:cstheme="minorBidi" w:eastAsiaTheme="minorHAnsi" w:hAnsiTheme="minorHAnsi"/>
      <w:sz w:val="22"/>
      <w:szCs w:val="22"/>
      <w:lang w:eastAsia="en-US"/>
    </w:rPr>
  </w:style>
  <w:style w:type="paragraph" w:styleId="a6">
    <w:name w:val="footer"/>
    <w:basedOn w:val="a"/>
    <w:link w:val="a7"/>
    <w:rsid w:val="00C66DDF"/>
    <w:pPr>
      <w:tabs>
        <w:tab w:val="center" w:pos="4513"/>
        <w:tab w:val="right" w:pos="9026"/>
      </w:tabs>
      <w:spacing w:after="0" w:line="240" w:lineRule="auto"/>
    </w:pPr>
  </w:style>
  <w:style w:type="character" w:styleId="a7" w:customStyle="1">
    <w:name w:val="Нижний колонтитул Знак"/>
    <w:basedOn w:val="a0"/>
    <w:link w:val="a6"/>
    <w:rsid w:val="00C66DDF"/>
    <w:rPr>
      <w:rFonts w:asciiTheme="minorHAnsi" w:cstheme="minorBidi" w:eastAsiaTheme="minorHAnsi" w:hAnsiTheme="minorHAnsi"/>
      <w:sz w:val="22"/>
      <w:szCs w:val="22"/>
      <w:lang w:eastAsia="en-US"/>
    </w:rPr>
  </w:style>
  <w:style w:type="table" w:styleId="a8">
    <w:name w:val="Table Grid"/>
    <w:basedOn w:val="a1"/>
    <w:uiPriority w:val="39"/>
    <w:rsid w:val="00C66DDF"/>
    <w:rPr>
      <w:rFonts w:asciiTheme="minorHAnsi" w:cstheme="minorBidi" w:eastAsiaTheme="minorHAnsi" w:hAnsiTheme="minorHAns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9">
    <w:name w:val="Body Text"/>
    <w:basedOn w:val="a"/>
    <w:link w:val="aa"/>
    <w:uiPriority w:val="1"/>
    <w:qFormat w:val="1"/>
    <w:rsid w:val="00CA406D"/>
    <w:pPr>
      <w:widowControl w:val="0"/>
      <w:autoSpaceDE w:val="0"/>
      <w:autoSpaceDN w:val="0"/>
      <w:spacing w:after="0" w:line="240" w:lineRule="auto"/>
      <w:ind w:left="112"/>
    </w:pPr>
    <w:rPr>
      <w:rFonts w:ascii="Times New Roman" w:cs="Times New Roman" w:eastAsia="Times New Roman" w:hAnsi="Times New Roman"/>
      <w:sz w:val="24"/>
      <w:szCs w:val="24"/>
    </w:rPr>
  </w:style>
  <w:style w:type="character" w:styleId="aa" w:customStyle="1">
    <w:name w:val="Основной текст Знак"/>
    <w:basedOn w:val="a0"/>
    <w:link w:val="a9"/>
    <w:uiPriority w:val="1"/>
    <w:rsid w:val="00CA406D"/>
    <w:rPr>
      <w:rFonts w:eastAsia="Times New Roman"/>
      <w:sz w:val="24"/>
      <w:szCs w:val="24"/>
      <w:lang w:eastAsia="en-US"/>
    </w:rPr>
  </w:style>
  <w:style w:type="paragraph" w:styleId="Default" w:customStyle="1">
    <w:name w:val="Default"/>
    <w:rsid w:val="00077C33"/>
    <w:pPr>
      <w:autoSpaceDE w:val="0"/>
      <w:autoSpaceDN w:val="0"/>
      <w:adjustRightInd w:val="0"/>
    </w:pPr>
    <w:rPr>
      <w:color w:val="000000"/>
      <w:sz w:val="24"/>
      <w:szCs w:val="24"/>
    </w:rPr>
  </w:style>
  <w:style w:type="paragraph" w:styleId="ab">
    <w:name w:val="List Paragraph"/>
    <w:basedOn w:val="a"/>
    <w:uiPriority w:val="34"/>
    <w:unhideWhenUsed w:val="1"/>
    <w:qFormat w:val="1"/>
    <w:rsid w:val="00E902E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jFebmKXC/FIYvpjgahoZ2H8Uiw==">CgMxLjAyDmguN2MzYTQxYzBzOHBmOAByITFEUjFpVmQ2SEhSX2REYUktR0JmX2hPVzRkOUFid0FOUA==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2025-03-20T11:59:00Z</dcterms:created>
  <dc:creator>USER PC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39E8AEE74452494A9C9A118FF3471966_12</vt:lpwstr>
  </property>
</Properties>
</file>