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C5C5" w14:textId="25A5A111" w:rsidR="00004423" w:rsidRDefault="007C1CA6" w:rsidP="00C66DD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F6D7C1" w14:textId="77777777" w:rsidR="00004423" w:rsidRDefault="0000442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FE200" w14:textId="77777777" w:rsidR="00004423" w:rsidRDefault="007C1CA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Cs w:val="0"/>
          <w:color w:val="444444"/>
          <w:sz w:val="24"/>
          <w:szCs w:val="24"/>
        </w:rPr>
        <w:t xml:space="preserve">Справка </w:t>
      </w:r>
    </w:p>
    <w:p w14:paraId="050E528D" w14:textId="77777777" w:rsidR="00A04347" w:rsidRDefault="007C1CA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о соискателе ученого звания «</w:t>
      </w:r>
      <w:r w:rsidR="002B14BD">
        <w:rPr>
          <w:rFonts w:ascii="Times New Roman" w:hAnsi="Times New Roman" w:cs="Times New Roman"/>
          <w:bCs w:val="0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рофессор»</w:t>
      </w:r>
    </w:p>
    <w:p w14:paraId="314E0081" w14:textId="11818FDE" w:rsidR="00004423" w:rsidRPr="00816B23" w:rsidRDefault="007C1CA6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  <w:lang w:val="ru-KZ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по </w:t>
      </w:r>
      <w:r w:rsidR="00EB485E">
        <w:rPr>
          <w:rFonts w:ascii="Times New Roman" w:hAnsi="Times New Roman" w:cs="Times New Roman"/>
          <w:bCs w:val="0"/>
          <w:color w:val="000000"/>
          <w:sz w:val="24"/>
          <w:szCs w:val="24"/>
          <w:lang w:val="ru-KZ"/>
        </w:rPr>
        <w:t xml:space="preserve">научному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направлению 30100 -</w:t>
      </w:r>
      <w:r w:rsidR="00816B23">
        <w:rPr>
          <w:rFonts w:ascii="Times New Roman" w:hAnsi="Times New Roman" w:cs="Times New Roman"/>
          <w:bCs w:val="0"/>
          <w:color w:val="000000"/>
          <w:sz w:val="24"/>
          <w:szCs w:val="24"/>
          <w:lang w:val="ru-KZ"/>
        </w:rPr>
        <w:t>Медицинские науки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946"/>
        <w:gridCol w:w="6945"/>
      </w:tblGrid>
      <w:tr w:rsidR="00004423" w14:paraId="603CC23C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F3A335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EC8E910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CA20F96" w14:textId="7F8BDAA2" w:rsidR="00004423" w:rsidRPr="004442D2" w:rsidRDefault="00A04347" w:rsidP="001D6C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4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Нургалиева </w:t>
            </w:r>
            <w:proofErr w:type="spellStart"/>
            <w:r w:rsidRPr="00444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Жанар</w:t>
            </w:r>
            <w:proofErr w:type="spellEnd"/>
            <w:r w:rsidRPr="00444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2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Женисовна</w:t>
            </w:r>
            <w:proofErr w:type="spellEnd"/>
          </w:p>
        </w:tc>
      </w:tr>
      <w:tr w:rsidR="00004423" w14:paraId="6D9F250E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F46259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6DAF0C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профилю, дата присуждения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13A7A" w14:textId="3AC45725" w:rsidR="00004423" w:rsidRPr="00B94A3A" w:rsidRDefault="007C1CA6" w:rsidP="001D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 медицинских наук (</w:t>
            </w:r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серия</w:t>
            </w:r>
            <w:proofErr w:type="gramStart"/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ҒК</w:t>
            </w:r>
            <w:proofErr w:type="gramEnd"/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0001936, 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04347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 2006 года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08D08FF" w14:textId="50B95942" w:rsidR="00004423" w:rsidRPr="00B94A3A" w:rsidRDefault="00004423" w:rsidP="001D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423" w14:paraId="2E09DB26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5D8532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CB936C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E38248" w14:textId="77466550" w:rsidR="00004423" w:rsidRPr="00B94A3A" w:rsidRDefault="00A04347" w:rsidP="001D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Ассоциированный профессор (доцент) по специальности «Медицина» (диплом серия ДЦ №0000052, протокол №540 от 27 марта 2014 года)</w:t>
            </w:r>
          </w:p>
        </w:tc>
      </w:tr>
      <w:tr w:rsidR="00004423" w14:paraId="7701D893" w14:textId="77777777" w:rsidTr="00E33540">
        <w:trPr>
          <w:trHeight w:val="30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291639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46653F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B82EB2" w14:textId="1B6E6210" w:rsidR="004E403C" w:rsidRPr="00B94A3A" w:rsidRDefault="004E403C" w:rsidP="00B1258C">
            <w:pPr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«Благодарственное письмо» МОН РК (министр </w:t>
            </w:r>
            <w:proofErr w:type="spell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А.Аймагамбетов</w:t>
            </w:r>
            <w:proofErr w:type="spell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2019г.)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A6E1E0" w14:textId="74B4BA1B" w:rsidR="00004423" w:rsidRPr="00B94A3A" w:rsidRDefault="004E403C" w:rsidP="00B1258C">
            <w:pPr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Нагрудной знак «</w:t>
            </w:r>
            <w:proofErr w:type="spell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</w:t>
            </w:r>
            <w:proofErr w:type="spell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 сақтау ісінің үздігі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(удостоверение №360 от 03.06.2021г.)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11C5D17" w14:textId="545483C9" w:rsidR="00004423" w:rsidRPr="00B94A3A" w:rsidRDefault="007C1CA6" w:rsidP="00B1258C">
            <w:pPr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Үзді</w:t>
            </w:r>
            <w:proofErr w:type="gramStart"/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gramEnd"/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</w:t>
            </w:r>
            <w:proofErr w:type="gramStart"/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стаз</w:t>
            </w:r>
            <w:proofErr w:type="gram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ректор КазНМУ им.С.Д.Асфендиярова М.Шоранов, 04.10.2024г.</w:t>
            </w: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426135" w14:textId="729FCA5B" w:rsidR="000875DC" w:rsidRPr="00B94A3A" w:rsidRDefault="00261452" w:rsidP="00B1258C">
            <w:pPr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Нагрудной</w:t>
            </w:r>
            <w:proofErr w:type="gram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«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ісінің үздік педагогы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(удостоверение №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0076, Астана-</w:t>
            </w:r>
            <w:r w:rsidR="000875DC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2023г.);</w:t>
            </w:r>
          </w:p>
          <w:p w14:paraId="1EA9E6A4" w14:textId="541EAE2E" w:rsidR="004E403C" w:rsidRPr="00B94A3A" w:rsidRDefault="004E403C" w:rsidP="00B1258C">
            <w:pPr>
              <w:numPr>
                <w:ilvl w:val="0"/>
                <w:numId w:val="1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proofErr w:type="spell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КазНМУ</w:t>
            </w:r>
            <w:proofErr w:type="spell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«Чемпион </w:t>
            </w:r>
            <w:proofErr w:type="spell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КазНМУ</w:t>
            </w:r>
            <w:proofErr w:type="spell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года» по итогам оценки ключевых показателей деятельности ППС (ректор </w:t>
            </w:r>
            <w:proofErr w:type="spellStart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М.Шоранов</w:t>
            </w:r>
            <w:proofErr w:type="spellEnd"/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4423" w14:paraId="0D42D316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DE65AF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AEF9BCE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Должность (дата и номер приказа о назначении на должность)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4E63141" w14:textId="77777777" w:rsidR="00004423" w:rsidRPr="00B94A3A" w:rsidRDefault="00D44217" w:rsidP="00FD70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  <w:r w:rsidR="007C1CA6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 №</w:t>
            </w:r>
            <w:r w:rsidR="00FD7079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1314л</w:t>
            </w:r>
            <w:r w:rsidR="007C1CA6" w:rsidRPr="00B94A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/с</w:t>
            </w:r>
            <w:r w:rsidR="007C1CA6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</w:t>
            </w:r>
            <w:r w:rsidR="00FD7079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1CA6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FD7079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1CA6" w:rsidRPr="00B94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г.).</w:t>
            </w:r>
          </w:p>
          <w:p w14:paraId="716365BC" w14:textId="1B998930" w:rsidR="002D66C6" w:rsidRPr="00B94A3A" w:rsidRDefault="002D66C6" w:rsidP="002D6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423" w14:paraId="31B4B3FC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7A8BB26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207791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Стаж научной, научно-педагогической деятельности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9802EB" w14:textId="1F6D5E35" w:rsidR="00004423" w:rsidRPr="00B94A3A" w:rsidRDefault="00F5477E" w:rsidP="00F5477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B94A3A">
              <w:rPr>
                <w:color w:val="000000"/>
              </w:rPr>
              <w:t xml:space="preserve">Общий стаж – 24 года 6 мес., лечебный стаж – 21 год 2 мес., научно-педагогический стаж  – 22 года 1 мес., в том </w:t>
            </w:r>
            <w:r w:rsidR="007C1CA6" w:rsidRPr="00B94A3A">
              <w:rPr>
                <w:color w:val="000000"/>
              </w:rPr>
              <w:t xml:space="preserve">числе в должности </w:t>
            </w:r>
            <w:r w:rsidR="00E553E9" w:rsidRPr="00B94A3A">
              <w:rPr>
                <w:color w:val="000000"/>
                <w:lang w:val="ru-KZ"/>
              </w:rPr>
              <w:t xml:space="preserve">профессора – </w:t>
            </w:r>
            <w:r w:rsidRPr="00B94A3A">
              <w:rPr>
                <w:color w:val="000000"/>
              </w:rPr>
              <w:t>4 года 7 мес.</w:t>
            </w:r>
          </w:p>
        </w:tc>
      </w:tr>
      <w:tr w:rsidR="00004423" w14:paraId="7DAF0356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699060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D4BE2A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DCE5D36" w14:textId="76E7B6D2" w:rsidR="001D6C0C" w:rsidRDefault="007C1CA6" w:rsidP="001D6C0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Всего - </w:t>
            </w:r>
            <w:r w:rsidR="00B94A3A">
              <w:rPr>
                <w:color w:val="000000"/>
              </w:rPr>
              <w:t>3</w:t>
            </w:r>
            <w:r w:rsidR="000C44F6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, в том числе </w:t>
            </w:r>
          </w:p>
          <w:p w14:paraId="45B3E4BF" w14:textId="6D8F8701" w:rsidR="001D6C0C" w:rsidRDefault="007C1CA6" w:rsidP="00A30FF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63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изданиях рекомендуемых уполномоченным органом </w:t>
            </w:r>
            <w:r w:rsidR="00B94A3A">
              <w:rPr>
                <w:color w:val="000000"/>
              </w:rPr>
              <w:t>– 2</w:t>
            </w:r>
            <w:r w:rsidR="00D44A5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, </w:t>
            </w:r>
          </w:p>
          <w:p w14:paraId="44747CC2" w14:textId="4946C9D5" w:rsidR="001D6C0C" w:rsidRDefault="007C1CA6" w:rsidP="00A30FF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63" w:hanging="425"/>
              <w:jc w:val="both"/>
              <w:rPr>
                <w:color w:val="000000"/>
              </w:rPr>
            </w:pPr>
            <w:r w:rsidRPr="00B94A3A">
              <w:rPr>
                <w:color w:val="000000"/>
              </w:rPr>
              <w:t xml:space="preserve">в научных журналах, входящих в базы компании </w:t>
            </w:r>
            <w:proofErr w:type="spellStart"/>
            <w:r w:rsidRPr="00B94A3A">
              <w:rPr>
                <w:color w:val="000000"/>
              </w:rPr>
              <w:t>Clarivate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Analytics</w:t>
            </w:r>
            <w:proofErr w:type="spellEnd"/>
            <w:r w:rsidRPr="00B94A3A">
              <w:rPr>
                <w:color w:val="000000"/>
              </w:rPr>
              <w:t xml:space="preserve"> (</w:t>
            </w:r>
            <w:proofErr w:type="spellStart"/>
            <w:r w:rsidRPr="00B94A3A">
              <w:rPr>
                <w:color w:val="000000"/>
              </w:rPr>
              <w:t>Кларивэйт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Аналитикс</w:t>
            </w:r>
            <w:proofErr w:type="spellEnd"/>
            <w:r w:rsidRPr="00B94A3A">
              <w:rPr>
                <w:color w:val="000000"/>
              </w:rPr>
              <w:t>) (</w:t>
            </w:r>
            <w:proofErr w:type="spellStart"/>
            <w:r w:rsidRPr="00B94A3A">
              <w:rPr>
                <w:color w:val="000000"/>
              </w:rPr>
              <w:t>Web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of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Science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Core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Collection</w:t>
            </w:r>
            <w:proofErr w:type="spellEnd"/>
            <w:r w:rsidRPr="00B94A3A">
              <w:rPr>
                <w:color w:val="000000"/>
              </w:rPr>
              <w:t xml:space="preserve">, </w:t>
            </w:r>
            <w:proofErr w:type="spellStart"/>
            <w:r w:rsidRPr="00B94A3A">
              <w:rPr>
                <w:color w:val="000000"/>
              </w:rPr>
              <w:t>Clarivate</w:t>
            </w:r>
            <w:proofErr w:type="spellEnd"/>
            <w:r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Analytics</w:t>
            </w:r>
            <w:proofErr w:type="spellEnd"/>
            <w:r w:rsidRPr="00B94A3A">
              <w:rPr>
                <w:color w:val="000000"/>
              </w:rPr>
              <w:t xml:space="preserve"> (</w:t>
            </w:r>
            <w:proofErr w:type="spellStart"/>
            <w:r w:rsidRPr="00B94A3A">
              <w:rPr>
                <w:color w:val="000000"/>
              </w:rPr>
              <w:t>Вэб</w:t>
            </w:r>
            <w:proofErr w:type="spellEnd"/>
            <w:r w:rsidRPr="00B94A3A">
              <w:rPr>
                <w:color w:val="000000"/>
              </w:rPr>
              <w:t xml:space="preserve"> оф </w:t>
            </w:r>
            <w:proofErr w:type="spellStart"/>
            <w:r w:rsidRPr="00B94A3A">
              <w:rPr>
                <w:color w:val="000000"/>
              </w:rPr>
              <w:t>Сайнс</w:t>
            </w:r>
            <w:proofErr w:type="spellEnd"/>
            <w:r w:rsidRPr="00B94A3A">
              <w:rPr>
                <w:color w:val="000000"/>
              </w:rPr>
              <w:t xml:space="preserve"> Кор </w:t>
            </w:r>
            <w:proofErr w:type="spellStart"/>
            <w:r w:rsidRPr="00B94A3A">
              <w:rPr>
                <w:color w:val="000000"/>
              </w:rPr>
              <w:t>Ко</w:t>
            </w:r>
            <w:r w:rsidR="00B94A3A" w:rsidRPr="00B94A3A">
              <w:rPr>
                <w:color w:val="000000"/>
              </w:rPr>
              <w:t>ллекшн</w:t>
            </w:r>
            <w:proofErr w:type="spellEnd"/>
            <w:r w:rsidR="00B94A3A" w:rsidRPr="00B94A3A">
              <w:rPr>
                <w:color w:val="000000"/>
              </w:rPr>
              <w:t xml:space="preserve">, </w:t>
            </w:r>
            <w:proofErr w:type="spellStart"/>
            <w:r w:rsidR="00B94A3A" w:rsidRPr="00B94A3A">
              <w:rPr>
                <w:color w:val="000000"/>
              </w:rPr>
              <w:t>Кларивэйт</w:t>
            </w:r>
            <w:proofErr w:type="spellEnd"/>
            <w:r w:rsidR="00B94A3A" w:rsidRPr="00B94A3A">
              <w:rPr>
                <w:color w:val="000000"/>
              </w:rPr>
              <w:t xml:space="preserve"> </w:t>
            </w:r>
            <w:proofErr w:type="spellStart"/>
            <w:r w:rsidR="00B94A3A" w:rsidRPr="00B94A3A">
              <w:rPr>
                <w:color w:val="000000"/>
              </w:rPr>
              <w:t>Аналитикс</w:t>
            </w:r>
            <w:proofErr w:type="spellEnd"/>
            <w:r w:rsidR="00B94A3A" w:rsidRPr="00B94A3A">
              <w:rPr>
                <w:color w:val="000000"/>
              </w:rPr>
              <w:t>))</w:t>
            </w:r>
            <w:r w:rsidR="0093148A" w:rsidRPr="00B94A3A">
              <w:rPr>
                <w:color w:val="000000"/>
              </w:rPr>
              <w:t>,</w:t>
            </w:r>
            <w:r w:rsidR="00B94A3A" w:rsidRPr="00B94A3A">
              <w:rPr>
                <w:color w:val="000000"/>
              </w:rPr>
              <w:t xml:space="preserve"> </w:t>
            </w:r>
            <w:proofErr w:type="spellStart"/>
            <w:r w:rsidRPr="00B94A3A">
              <w:rPr>
                <w:color w:val="000000"/>
              </w:rPr>
              <w:t>Scopus</w:t>
            </w:r>
            <w:proofErr w:type="spellEnd"/>
            <w:r w:rsidRPr="00B94A3A">
              <w:rPr>
                <w:color w:val="000000"/>
              </w:rPr>
              <w:t xml:space="preserve"> (</w:t>
            </w:r>
            <w:proofErr w:type="spellStart"/>
            <w:r w:rsidRPr="00B94A3A">
              <w:rPr>
                <w:color w:val="000000"/>
              </w:rPr>
              <w:t>Скопус</w:t>
            </w:r>
            <w:proofErr w:type="spellEnd"/>
            <w:r w:rsidRPr="00B94A3A">
              <w:rPr>
                <w:color w:val="000000"/>
              </w:rPr>
              <w:t xml:space="preserve">) или JSTOR (ДЖЕЙСТОР) </w:t>
            </w:r>
            <w:r w:rsidR="00B94A3A">
              <w:rPr>
                <w:color w:val="000000"/>
              </w:rPr>
              <w:t>–</w:t>
            </w:r>
            <w:r w:rsidRPr="00B94A3A">
              <w:rPr>
                <w:color w:val="000000"/>
              </w:rPr>
              <w:t xml:space="preserve"> </w:t>
            </w:r>
            <w:r w:rsidR="000C44F6">
              <w:rPr>
                <w:color w:val="000000"/>
              </w:rPr>
              <w:t>6</w:t>
            </w:r>
            <w:bookmarkStart w:id="0" w:name="_GoBack"/>
            <w:bookmarkEnd w:id="0"/>
            <w:r w:rsidRPr="00B94A3A">
              <w:rPr>
                <w:color w:val="000000"/>
              </w:rPr>
              <w:t xml:space="preserve">, </w:t>
            </w:r>
          </w:p>
          <w:p w14:paraId="76642281" w14:textId="1A0D4E99" w:rsidR="00B94A3A" w:rsidRDefault="00B94A3A" w:rsidP="00A30FF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89" w:hangingChars="162" w:hanging="3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другие журналы – </w:t>
            </w:r>
            <w:r w:rsidR="00A2198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</w:p>
          <w:p w14:paraId="0FA8B9E5" w14:textId="77777777" w:rsidR="00A30FF7" w:rsidRDefault="00A30FF7" w:rsidP="00A30FF7">
            <w:pPr>
              <w:pStyle w:val="a3"/>
              <w:spacing w:before="0" w:beforeAutospacing="0" w:after="0" w:afterAutospacing="0"/>
              <w:ind w:left="389"/>
              <w:jc w:val="both"/>
              <w:rPr>
                <w:color w:val="000000"/>
              </w:rPr>
            </w:pPr>
          </w:p>
          <w:p w14:paraId="19C7F287" w14:textId="77777777" w:rsidR="00B73D6F" w:rsidRPr="00B94A3A" w:rsidRDefault="00B73D6F" w:rsidP="00A30FF7">
            <w:pPr>
              <w:pStyle w:val="a3"/>
              <w:spacing w:before="0" w:beforeAutospacing="0" w:after="0" w:afterAutospacing="0"/>
              <w:ind w:left="389"/>
              <w:jc w:val="both"/>
              <w:rPr>
                <w:color w:val="000000"/>
              </w:rPr>
            </w:pPr>
          </w:p>
          <w:p w14:paraId="442A6996" w14:textId="4D0338D9" w:rsidR="00A30FF7" w:rsidRDefault="00A30FF7" w:rsidP="00A30FF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</w:t>
            </w:r>
            <w:r w:rsidR="007C1CA6">
              <w:rPr>
                <w:color w:val="000000"/>
              </w:rPr>
              <w:t>ворческих тр</w:t>
            </w:r>
            <w:r w:rsidR="00E22E8C">
              <w:rPr>
                <w:color w:val="000000"/>
              </w:rPr>
              <w:t xml:space="preserve">удов (авторских свидетельств) – </w:t>
            </w:r>
            <w:r w:rsidR="0093148A" w:rsidRPr="00B94A3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, </w:t>
            </w:r>
            <w:r w:rsidR="0093148A" w:rsidRPr="00B94A3A">
              <w:rPr>
                <w:color w:val="000000"/>
              </w:rPr>
              <w:t xml:space="preserve">в </w:t>
            </w:r>
            <w:proofErr w:type="spellStart"/>
            <w:r w:rsidR="0093148A" w:rsidRPr="00B94A3A">
              <w:rPr>
                <w:color w:val="000000"/>
              </w:rPr>
              <w:t>т.ч</w:t>
            </w:r>
            <w:proofErr w:type="spellEnd"/>
            <w:r w:rsidR="0093148A" w:rsidRPr="00B94A3A">
              <w:rPr>
                <w:color w:val="000000"/>
              </w:rPr>
              <w:t xml:space="preserve">. </w:t>
            </w:r>
          </w:p>
          <w:p w14:paraId="4B856701" w14:textId="77777777" w:rsidR="00A30FF7" w:rsidRDefault="00E22E8C" w:rsidP="00A30FF7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89" w:hangingChars="162" w:hanging="389"/>
              <w:jc w:val="both"/>
              <w:rPr>
                <w:color w:val="000000"/>
              </w:rPr>
            </w:pPr>
            <w:r w:rsidRPr="00B94A3A">
              <w:rPr>
                <w:color w:val="000000"/>
              </w:rPr>
              <w:t>1</w:t>
            </w:r>
            <w:r w:rsidR="0093148A" w:rsidRPr="00B94A3A">
              <w:rPr>
                <w:color w:val="000000"/>
              </w:rPr>
              <w:t>)</w:t>
            </w:r>
            <w:r w:rsidRPr="00B94A3A">
              <w:rPr>
                <w:color w:val="000000"/>
              </w:rPr>
              <w:t xml:space="preserve"> </w:t>
            </w:r>
            <w:r w:rsidRPr="00B94A3A">
              <w:t xml:space="preserve">авторское право «Педиатрические регистрационные карты для исследования» (авторы: </w:t>
            </w:r>
            <w:proofErr w:type="spellStart"/>
            <w:r w:rsidRPr="00B94A3A">
              <w:t>Ильмуратова</w:t>
            </w:r>
            <w:proofErr w:type="spellEnd"/>
            <w:r w:rsidRPr="00B94A3A">
              <w:t xml:space="preserve"> С.Х., Нургалиева Ж.Ж.), </w:t>
            </w:r>
            <w:r w:rsidRPr="00B94A3A">
              <w:rPr>
                <w:bCs/>
                <w:color w:val="000000"/>
              </w:rPr>
              <w:t>Национальный институт интеллектуальной собственности №34285 от 04.04.2023г.</w:t>
            </w:r>
            <w:r w:rsidR="00A30FF7">
              <w:rPr>
                <w:color w:val="000000"/>
              </w:rPr>
              <w:t>;</w:t>
            </w:r>
          </w:p>
          <w:p w14:paraId="7D5769EA" w14:textId="77777777" w:rsidR="00A30FF7" w:rsidRPr="00A30FF7" w:rsidRDefault="00E22E8C" w:rsidP="00A30FF7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89" w:hangingChars="162" w:hanging="389"/>
              <w:jc w:val="both"/>
              <w:rPr>
                <w:color w:val="000000"/>
              </w:rPr>
            </w:pPr>
            <w:r w:rsidRPr="00B94A3A">
              <w:rPr>
                <w:color w:val="000000"/>
              </w:rPr>
              <w:t>2</w:t>
            </w:r>
            <w:r w:rsidR="0093148A" w:rsidRPr="00B94A3A">
              <w:rPr>
                <w:color w:val="000000"/>
              </w:rPr>
              <w:t>)</w:t>
            </w:r>
            <w:r w:rsidRPr="00B94A3A">
              <w:rPr>
                <w:color w:val="000000"/>
              </w:rPr>
              <w:t xml:space="preserve"> </w:t>
            </w:r>
            <w:r w:rsidR="002B6AD0" w:rsidRPr="00B94A3A">
              <w:t xml:space="preserve">авторское право </w:t>
            </w:r>
            <w:r w:rsidR="002B6AD0" w:rsidRPr="00B94A3A">
              <w:rPr>
                <w:bCs/>
                <w:color w:val="000000"/>
              </w:rPr>
              <w:t xml:space="preserve">«Регистрационная карта детей до 1 года жизни на уровне ПМСП для проспектовой оценки риска последствий </w:t>
            </w:r>
            <w:proofErr w:type="spellStart"/>
            <w:r w:rsidR="002B6AD0" w:rsidRPr="00B94A3A">
              <w:rPr>
                <w:bCs/>
                <w:color w:val="000000"/>
              </w:rPr>
              <w:t>гипербилирубинемии</w:t>
            </w:r>
            <w:proofErr w:type="spellEnd"/>
            <w:r w:rsidR="002B6AD0" w:rsidRPr="00B94A3A">
              <w:rPr>
                <w:bCs/>
                <w:color w:val="000000"/>
              </w:rPr>
              <w:t xml:space="preserve"> в периоде новорожденности» (авторы: Нургалиева Ж.Ж., </w:t>
            </w:r>
            <w:proofErr w:type="spellStart"/>
            <w:r w:rsidR="002B6AD0" w:rsidRPr="00B94A3A">
              <w:rPr>
                <w:bCs/>
                <w:color w:val="000000"/>
              </w:rPr>
              <w:t>Сейсебаева</w:t>
            </w:r>
            <w:proofErr w:type="spellEnd"/>
            <w:r w:rsidR="002B6AD0" w:rsidRPr="00B94A3A">
              <w:rPr>
                <w:bCs/>
                <w:color w:val="000000"/>
              </w:rPr>
              <w:t xml:space="preserve"> Р.Ж., Исаева Г.А.), Национальный институт интеллектуальной собственности № 42368 от «25» января 2024 года; </w:t>
            </w:r>
          </w:p>
          <w:p w14:paraId="66B62D42" w14:textId="77777777" w:rsidR="00A30FF7" w:rsidRPr="00A30FF7" w:rsidRDefault="002B6AD0" w:rsidP="00A30FF7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89" w:hangingChars="162" w:hanging="389"/>
              <w:jc w:val="both"/>
              <w:rPr>
                <w:color w:val="000000"/>
              </w:rPr>
            </w:pPr>
            <w:r w:rsidRPr="00B94A3A">
              <w:rPr>
                <w:bCs/>
                <w:color w:val="000000"/>
              </w:rPr>
              <w:t>3</w:t>
            </w:r>
            <w:r w:rsidR="0093148A" w:rsidRPr="00B94A3A">
              <w:rPr>
                <w:bCs/>
                <w:color w:val="000000"/>
              </w:rPr>
              <w:t>)</w:t>
            </w:r>
            <w:r w:rsidRPr="00B94A3A">
              <w:rPr>
                <w:bCs/>
                <w:color w:val="000000"/>
              </w:rPr>
              <w:t xml:space="preserve"> </w:t>
            </w:r>
            <w:r w:rsidR="00A80C3E" w:rsidRPr="00B94A3A">
              <w:t xml:space="preserve">авторское право «Алгоритм ведения детей, зачатых с помощью вспомогательных репродуктивных технологий» (авторы: </w:t>
            </w:r>
            <w:proofErr w:type="spellStart"/>
            <w:r w:rsidR="00A80C3E" w:rsidRPr="00B94A3A">
              <w:t>Ильмуратова</w:t>
            </w:r>
            <w:proofErr w:type="spellEnd"/>
            <w:r w:rsidR="00A80C3E" w:rsidRPr="00B94A3A">
              <w:t xml:space="preserve"> С.Х., Локшин В.Н., Нургалиева Ж.Ж.), </w:t>
            </w:r>
            <w:r w:rsidR="00A80C3E" w:rsidRPr="00B94A3A">
              <w:rPr>
                <w:bCs/>
                <w:color w:val="000000"/>
              </w:rPr>
              <w:t>Национальный институт интеллектуальной собственности №</w:t>
            </w:r>
            <w:r w:rsidR="00A80C3E" w:rsidRPr="00B94A3A">
              <w:t xml:space="preserve"> 52144</w:t>
            </w:r>
            <w:r w:rsidR="00A80C3E" w:rsidRPr="00B94A3A">
              <w:rPr>
                <w:bCs/>
                <w:color w:val="000000"/>
              </w:rPr>
              <w:t xml:space="preserve"> от 04.12.2024г.</w:t>
            </w:r>
            <w:r w:rsidR="0093148A" w:rsidRPr="00B94A3A">
              <w:rPr>
                <w:bCs/>
                <w:color w:val="000000"/>
              </w:rPr>
              <w:t xml:space="preserve">; </w:t>
            </w:r>
          </w:p>
          <w:p w14:paraId="149044E0" w14:textId="75F31DEE" w:rsidR="00E22E8C" w:rsidRPr="00E22E8C" w:rsidRDefault="0093148A" w:rsidP="00A30FF7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89" w:hangingChars="162" w:hanging="389"/>
              <w:jc w:val="both"/>
              <w:rPr>
                <w:color w:val="000000"/>
              </w:rPr>
            </w:pPr>
            <w:r w:rsidRPr="00B94A3A">
              <w:rPr>
                <w:bCs/>
                <w:color w:val="000000"/>
              </w:rPr>
              <w:t xml:space="preserve">4) </w:t>
            </w:r>
            <w:r w:rsidR="0040047D" w:rsidRPr="00B94A3A">
              <w:t xml:space="preserve">авторское право «Алгоритм диагностики легочной артериальной гипертензии ассоциированной с врожденным лево-правым шунтированием крови у детей» (производство науки)» (авторы: </w:t>
            </w:r>
            <w:proofErr w:type="spellStart"/>
            <w:proofErr w:type="gramStart"/>
            <w:r w:rsidR="0040047D" w:rsidRPr="00B94A3A">
              <w:t>Маллен</w:t>
            </w:r>
            <w:proofErr w:type="spellEnd"/>
            <w:r w:rsidR="0040047D" w:rsidRPr="00B94A3A">
              <w:t xml:space="preserve"> А.К., Нургалиева Ж.Ж., </w:t>
            </w:r>
            <w:proofErr w:type="spellStart"/>
            <w:r w:rsidR="0040047D" w:rsidRPr="00B94A3A">
              <w:t>Абзалиев</w:t>
            </w:r>
            <w:proofErr w:type="spellEnd"/>
            <w:r w:rsidR="0040047D" w:rsidRPr="00B94A3A">
              <w:t xml:space="preserve"> К.Б.), </w:t>
            </w:r>
            <w:r w:rsidR="0040047D" w:rsidRPr="00B94A3A">
              <w:rPr>
                <w:bCs/>
                <w:color w:val="000000"/>
              </w:rPr>
              <w:t>Министерство Юстиции РК №2866 от 13.09.2018г.</w:t>
            </w:r>
            <w:r w:rsidR="0040047D" w:rsidRPr="00B94A3A">
              <w:rPr>
                <w:color w:val="000000"/>
              </w:rPr>
              <w:t>;</w:t>
            </w:r>
            <w:r w:rsidR="00A80C3E" w:rsidRPr="00B94A3A">
              <w:rPr>
                <w:bCs/>
                <w:color w:val="000000"/>
              </w:rPr>
              <w:t>)</w:t>
            </w:r>
            <w:proofErr w:type="gramEnd"/>
          </w:p>
        </w:tc>
      </w:tr>
      <w:tr w:rsidR="00004423" w14:paraId="170FCA45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2002C3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16CAE1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Количество, изданных за </w:t>
            </w:r>
            <w:proofErr w:type="gramStart"/>
            <w:r>
              <w:rPr>
                <w:color w:val="000000"/>
              </w:rPr>
              <w:t>последние</w:t>
            </w:r>
            <w:proofErr w:type="gramEnd"/>
            <w:r>
              <w:rPr>
                <w:color w:val="000000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B0E3B" w14:textId="30119A5F" w:rsidR="00B94A3A" w:rsidRPr="004442D2" w:rsidRDefault="00B94A3A" w:rsidP="001D6C0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 «Детская эндокринология» (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(авторы: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Умбетьярова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Л.Б., Нургалиева Ж.Ж.), </w:t>
            </w:r>
            <w:r w:rsidR="00A8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A8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19,125 </w:t>
            </w:r>
            <w:proofErr w:type="spellStart"/>
            <w:r w:rsidR="00A8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="00A8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(утвержден УС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 w:rsidR="00835B2E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Аль-</w:t>
            </w:r>
            <w:proofErr w:type="spellStart"/>
            <w:r w:rsidR="00835B2E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Фараби</w:t>
            </w:r>
            <w:proofErr w:type="spellEnd"/>
            <w:r w:rsidR="00835B2E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протокол №8 от 27.02.2025г.)</w:t>
            </w:r>
          </w:p>
          <w:p w14:paraId="0A169FB7" w14:textId="4B4DDDFA" w:rsidR="00DC0115" w:rsidRPr="004442D2" w:rsidRDefault="00B94A3A" w:rsidP="001D6C0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Учебное пособие </w:t>
            </w:r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«Неотложная помощь при судорогах у детей»</w:t>
            </w:r>
            <w:r w:rsidR="0094749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BA0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(авторы:</w:t>
            </w:r>
            <w:proofErr w:type="gramEnd"/>
            <w:r w:rsidR="00C61BA0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А.Т., Расулов С.К.,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Нурмаханова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Ж.М., Нургалиева Ж.Ж.,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Сейсебаева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Р.Ж.</w:t>
            </w:r>
            <w:r w:rsidR="00C61BA0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1D6C0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 с. </w:t>
            </w:r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D6C0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6C0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="001D6C0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2024г. (утвержден УМО РУМС, протокол №3 от 21 </w:t>
            </w:r>
            <w:r w:rsidR="001D6C0C"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ноября 2024 года</w:t>
            </w:r>
            <w:r w:rsidR="00F26787"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14:paraId="14BFED0F" w14:textId="0BAC0C11" w:rsidR="00F26787" w:rsidRPr="004442D2" w:rsidRDefault="00F26787" w:rsidP="001D6C0C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Методические рекомендации «Прогнозирование патологических состояний у детей, зачатых с помощью вспомогательных репродуктивных технологий. </w:t>
            </w:r>
            <w:proofErr w:type="gram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Алгоритм ведения в раннем возрасте», (авторы:</w:t>
            </w:r>
            <w:proofErr w:type="gram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Локшин В.Н.,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Манжуова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Л.Н.,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Ильмуратова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С.Х., Нургалиева Ж.Ж.), 50 с. – 3,125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2024г. </w:t>
            </w:r>
            <w:proofErr w:type="gram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(Утверждено и разрешено к изданию типографическим способом РГП на ПХВ "Национальный научный центр развития здравоохранения имени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Салидат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Каирбековой</w:t>
            </w:r>
            <w:proofErr w:type="spellEnd"/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МЗ РК (№496 от «30» октября 2024г.).</w:t>
            </w:r>
            <w:proofErr w:type="gramEnd"/>
          </w:p>
          <w:p w14:paraId="1E7203FD" w14:textId="4BFE8FC7" w:rsidR="00DC0115" w:rsidRPr="00835B2E" w:rsidRDefault="00F26787" w:rsidP="00835B2E">
            <w:pPr>
              <w:pStyle w:val="a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C0115" w:rsidRPr="004442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Учебное пособие «Диагностика и лечение легочной</w:t>
            </w:r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артериальной г</w:t>
            </w:r>
            <w:r w:rsidR="001D6C0C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пертензии с врожденным лево-правым шунтированием крови» (авторы:</w:t>
            </w:r>
            <w:proofErr w:type="gram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Маллен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Абзалиев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К.Б., Нургалиева Ж.Ж.,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Абзалиева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С.А.), 68с. – 4,25 </w:t>
            </w:r>
            <w:proofErr w:type="spellStart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п.л</w:t>
            </w:r>
            <w:proofErr w:type="spellEnd"/>
            <w:r w:rsidR="00DC0115" w:rsidRPr="0044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2019г.</w:t>
            </w:r>
          </w:p>
        </w:tc>
      </w:tr>
      <w:tr w:rsidR="00004423" w14:paraId="124CF957" w14:textId="77777777" w:rsidTr="00E33540">
        <w:trPr>
          <w:trHeight w:val="33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F65DF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840DAD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 или степень доктора философии (</w:t>
            </w:r>
            <w:proofErr w:type="spellStart"/>
            <w:r>
              <w:rPr>
                <w:color w:val="000000"/>
              </w:rPr>
              <w:t>PhD</w:t>
            </w:r>
            <w:proofErr w:type="spellEnd"/>
            <w:r>
              <w:rPr>
                <w:color w:val="000000"/>
              </w:rPr>
              <w:t>), доктора по профилю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B7926C" w14:textId="77777777" w:rsidR="00A4380E" w:rsidRPr="00B1258C" w:rsidRDefault="007C1CA6" w:rsidP="001D6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</w:t>
            </w:r>
            <w:r w:rsidR="00A4380E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</w:t>
            </w:r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докторск</w:t>
            </w:r>
            <w:r w:rsidR="00A4380E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диссертаци</w:t>
            </w:r>
            <w:r w:rsidR="00A4380E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й:</w:t>
            </w:r>
          </w:p>
          <w:p w14:paraId="41A1344A" w14:textId="3407B7D3" w:rsidR="00A4380E" w:rsidRPr="00B1258C" w:rsidRDefault="00A4380E" w:rsidP="00546D49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Тулебаева </w:t>
            </w:r>
            <w:proofErr w:type="spellStart"/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  <w:r w:rsidR="00CE457F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«Клинико-эпидемиологическая характеристика </w:t>
            </w:r>
            <w:proofErr w:type="spellStart"/>
            <w:r w:rsidR="00CE457F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мукополисахаридозов</w:t>
            </w:r>
            <w:proofErr w:type="spellEnd"/>
            <w:r w:rsidR="00CE457F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в Республике Казахстан» по специальности 6D110100 — «Медицина» с присвоением ученой степени доктора философии (PhD) (2018г.)</w:t>
            </w:r>
            <w:r w:rsidR="00546D49" w:rsidRP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101044" w14:textId="28F63DCF" w:rsidR="00004423" w:rsidRDefault="00A4380E" w:rsidP="00D44A51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258C">
              <w:rPr>
                <w:rFonts w:ascii="Times New Roman" w:hAnsi="Times New Roman"/>
                <w:sz w:val="24"/>
                <w:szCs w:val="24"/>
              </w:rPr>
              <w:t>Маллен</w:t>
            </w:r>
            <w:proofErr w:type="spellEnd"/>
            <w:r w:rsidRPr="00B1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58C">
              <w:rPr>
                <w:rFonts w:ascii="Times New Roman" w:hAnsi="Times New Roman"/>
                <w:sz w:val="24"/>
                <w:szCs w:val="24"/>
              </w:rPr>
              <w:t>Айгерим</w:t>
            </w:r>
            <w:proofErr w:type="spellEnd"/>
            <w:r w:rsidRPr="00B1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58C">
              <w:rPr>
                <w:rFonts w:ascii="Times New Roman" w:hAnsi="Times New Roman"/>
                <w:sz w:val="24"/>
                <w:szCs w:val="24"/>
              </w:rPr>
              <w:t>Куатовны</w:t>
            </w:r>
            <w:proofErr w:type="spellEnd"/>
            <w:r w:rsidRPr="00B1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65B" w:rsidRPr="00B1258C">
              <w:rPr>
                <w:rFonts w:ascii="Noto Sans" w:hAnsi="Noto Sans"/>
                <w:color w:val="141617"/>
                <w:spacing w:val="4"/>
                <w:shd w:val="clear" w:color="auto" w:fill="FFFFFF"/>
              </w:rPr>
              <w:t>по теме</w:t>
            </w:r>
            <w:r w:rsidRPr="00B1258C">
              <w:rPr>
                <w:rFonts w:ascii="Noto Sans" w:hAnsi="Noto Sans"/>
                <w:color w:val="141617"/>
                <w:spacing w:val="4"/>
                <w:shd w:val="clear" w:color="auto" w:fill="FFFFFF"/>
              </w:rPr>
              <w:t xml:space="preserve"> «Диагностика и комплексная терапия легочной артериальной гипертензии у детей с врожденным лево-правым шунтированием крови» по спе</w:t>
            </w:r>
            <w:r w:rsidR="00CE457F" w:rsidRPr="00B1258C">
              <w:rPr>
                <w:rFonts w:ascii="Noto Sans" w:hAnsi="Noto Sans"/>
                <w:color w:val="141617"/>
                <w:spacing w:val="4"/>
                <w:shd w:val="clear" w:color="auto" w:fill="FFFFFF"/>
              </w:rPr>
              <w:t>циальности 6D110100 — Медицина</w:t>
            </w:r>
            <w:proofErr w:type="gramStart"/>
            <w:r w:rsidR="00CE457F" w:rsidRPr="00B1258C">
              <w:rPr>
                <w:rFonts w:ascii="Noto Sans" w:hAnsi="Noto Sans"/>
                <w:color w:val="141617"/>
                <w:spacing w:val="4"/>
                <w:shd w:val="clear" w:color="auto" w:fill="FFFFFF"/>
              </w:rPr>
              <w:t>.</w:t>
            </w:r>
            <w:proofErr w:type="gramEnd"/>
            <w:r w:rsidR="00CE457F" w:rsidRPr="00B1258C">
              <w:rPr>
                <w:rFonts w:ascii="Noto Sans" w:hAnsi="Noto Sans"/>
                <w:color w:val="141617"/>
                <w:spacing w:val="4"/>
                <w:shd w:val="clear" w:color="auto" w:fill="FFFFFF"/>
              </w:rPr>
              <w:t xml:space="preserve"> </w:t>
            </w:r>
            <w:proofErr w:type="gramStart"/>
            <w:r w:rsidR="00E12B1A" w:rsidRPr="00B1258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E12B1A" w:rsidRPr="00B1258C">
              <w:rPr>
                <w:rFonts w:ascii="Times New Roman" w:hAnsi="Times New Roman"/>
                <w:sz w:val="24"/>
                <w:szCs w:val="24"/>
              </w:rPr>
              <w:t xml:space="preserve"> присвоением ученой степени доктора философии (</w:t>
            </w:r>
            <w:r w:rsidR="00E12B1A" w:rsidRPr="00B1258C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="00E12B1A" w:rsidRPr="00B1258C">
              <w:rPr>
                <w:rFonts w:ascii="Times New Roman" w:hAnsi="Times New Roman"/>
                <w:sz w:val="24"/>
                <w:szCs w:val="24"/>
              </w:rPr>
              <w:t>) (2019г.).</w:t>
            </w:r>
          </w:p>
        </w:tc>
      </w:tr>
      <w:tr w:rsidR="00004423" w14:paraId="401A6BD6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064304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45C413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BEE9711" w14:textId="3684FC91" w:rsidR="00D44A51" w:rsidRPr="00D44A51" w:rsidRDefault="00D44A51" w:rsidP="00D44A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научным руководством </w:t>
            </w:r>
            <w:proofErr w:type="gramStart"/>
            <w:r w:rsidRPr="00D4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подготовлены</w:t>
            </w:r>
            <w:proofErr w:type="gramEnd"/>
            <w:r w:rsidRPr="00D4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E400852" w14:textId="6242D9DC" w:rsidR="00490B3D" w:rsidRPr="00D44A51" w:rsidRDefault="00D44A51" w:rsidP="00D44A51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призёров международных олимпиад, конкурсов молодых ученых и др.</w:t>
            </w:r>
          </w:p>
          <w:p w14:paraId="2C7FDBA7" w14:textId="39ACBA18" w:rsidR="00D44A51" w:rsidRPr="00490B3D" w:rsidRDefault="00D44A51" w:rsidP="00D44A51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D4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призера республиканских олимпиад, конкурсов молодых ученых и др.</w:t>
            </w:r>
          </w:p>
        </w:tc>
      </w:tr>
      <w:tr w:rsidR="00004423" w14:paraId="353D6CC0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A7C63C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6CCF4D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C599F35" w14:textId="21AC32FD" w:rsidR="00004423" w:rsidRDefault="00142F8E" w:rsidP="001D6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</w:tr>
      <w:tr w:rsidR="00004423" w14:paraId="53B89BEF" w14:textId="77777777" w:rsidTr="00E3354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81D9F2" w14:textId="77777777" w:rsidR="00004423" w:rsidRDefault="007C1CA6" w:rsidP="001D6C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92C45F" w14:textId="77777777" w:rsidR="00004423" w:rsidRDefault="007C1CA6" w:rsidP="001D6C0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4C879F" w14:textId="77777777" w:rsidR="00825928" w:rsidRDefault="00142F8E" w:rsidP="001D6C0C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внутривузовского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НТП </w:t>
            </w:r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C1CA6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№148 от 30.03.2022г. (2022-2024г.)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CEBB64" w14:textId="12168C27" w:rsidR="00C6078D" w:rsidRPr="00533291" w:rsidRDefault="00C6078D" w:rsidP="00C6078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НТП «Определение соматического и психосоциального статуса детей, родившихся в результате вспомогательных репродуктивных технологий, с разработкой прогностической модели и принципов ведения детей» (МОН РК AP14872103, 2022-2024 годы) (</w:t>
            </w:r>
            <w:r w:rsid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ВНК НЦПДХ 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B12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232-0 от 09.12.2022г.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5964DEE3" w14:textId="0E7EDEE5" w:rsidR="0077221A" w:rsidRPr="00533291" w:rsidRDefault="0077221A" w:rsidP="00CA76A9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научного комитета по направлению «Педиатрия»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им.С.Д.Асфендиярова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25928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825928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="00825928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№507 от 29.09.2023 года «Об утверждении состава Научных комитетов»)</w:t>
            </w:r>
          </w:p>
          <w:p w14:paraId="5E3949D9" w14:textId="68FD75A1" w:rsidR="0077221A" w:rsidRPr="00533291" w:rsidRDefault="007C1CA6" w:rsidP="001D6C0C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Научного Комитета Школы педиатрии (202</w:t>
            </w:r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</w:t>
            </w:r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4,2025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549498A" w14:textId="60028761" w:rsidR="0077221A" w:rsidRPr="00533291" w:rsidRDefault="007C1CA6" w:rsidP="001D6C0C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руководитель 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магистрантов: </w:t>
            </w:r>
            <w:proofErr w:type="spellStart"/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Манасбаева</w:t>
            </w:r>
            <w:proofErr w:type="spellEnd"/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 </w:t>
            </w:r>
            <w:proofErr w:type="spellStart"/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Новрузова</w:t>
            </w:r>
            <w:proofErr w:type="spellEnd"/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Н.Б.(</w:t>
            </w:r>
            <w:r w:rsidR="00A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2020-2022 </w:t>
            </w:r>
            <w:proofErr w:type="spellStart"/>
            <w:r w:rsidR="00A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A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Исаевой Г.А. (</w:t>
            </w:r>
            <w:r w:rsidR="00A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2023-2025г.г.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6681601B" w14:textId="014075A2" w:rsidR="00126277" w:rsidRPr="00533291" w:rsidRDefault="007C1CA6" w:rsidP="00126277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Рецензент журнала «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едицина», «Фармация Казахстана» (с 2023г.</w:t>
            </w:r>
            <w:r w:rsidR="00A36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2024г.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7221A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14F999" w14:textId="77777777" w:rsidR="00126277" w:rsidRPr="00533291" w:rsidRDefault="004F278B" w:rsidP="00126277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Провела цикла ФПК по теме «Вопросы организации и 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 деятельности кабинетов развития ребенка» (3 кредита/90 часов) (приказ № 223 от 09.11.2023);</w:t>
            </w:r>
          </w:p>
          <w:p w14:paraId="4E7D5AF0" w14:textId="47B83A2C" w:rsidR="004F278B" w:rsidRPr="00533291" w:rsidRDefault="004F278B" w:rsidP="00126277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рабочей группы </w:t>
            </w:r>
            <w:proofErr w:type="gram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</w:t>
            </w:r>
            <w:proofErr w:type="gram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отчета по самооценке и проведении специализированной аккредитации образовательных программ непрерывного интегрированного медицинского образования,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магистратуры и докторантуры (приказ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644 от 15.12.2023 Проректор Ж.А.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Калматаева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34F8CA9A" w14:textId="4BA079E8" w:rsidR="00126277" w:rsidRPr="00533291" w:rsidRDefault="00145577" w:rsidP="00126277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126277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126277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мобильность в </w:t>
            </w:r>
            <w:proofErr w:type="spellStart"/>
            <w:r w:rsidR="00126277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Ургенчский</w:t>
            </w:r>
            <w:proofErr w:type="spellEnd"/>
            <w:r w:rsidR="00126277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ТМА (Узбекистан) с 21.04.2024г. по 28.04.2024г. </w:t>
            </w:r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приказ №137-к от 05.04.2024г.;</w:t>
            </w:r>
          </w:p>
          <w:p w14:paraId="0D7C528B" w14:textId="2D49B562" w:rsidR="006422FD" w:rsidRPr="00533291" w:rsidRDefault="00145577" w:rsidP="00650045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мобильность в ЗКМУ </w:t>
            </w:r>
            <w:proofErr w:type="spellStart"/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им.М.Оспанова</w:t>
            </w:r>
            <w:proofErr w:type="spellEnd"/>
            <w:r w:rsidR="00650045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31.10.2022 по 11.11.2022г. прика</w:t>
            </w:r>
            <w:r w:rsidR="0063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="0063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="0063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№358-к от 19.10.2022г.;</w:t>
            </w:r>
          </w:p>
          <w:p w14:paraId="2D604993" w14:textId="776DA169" w:rsidR="004F278B" w:rsidRPr="00533291" w:rsidRDefault="00126277" w:rsidP="00126277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ВЭК НААР для международной оце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нки качества ТМА (</w:t>
            </w:r>
            <w:proofErr w:type="spellStart"/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ашкент</w:t>
            </w:r>
            <w:proofErr w:type="spellEnd"/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Уз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бекистан) –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исх.письмо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НААР №18408 от 29.04.2024 (вход.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34B42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№2201 от 29.04.2024г.)</w:t>
            </w:r>
            <w:r w:rsidR="00C6078D"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E84738" w14:textId="75346E05" w:rsidR="004F278B" w:rsidRPr="00533291" w:rsidRDefault="00C6078D" w:rsidP="00C6078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комиссии </w:t>
            </w:r>
            <w:proofErr w:type="gram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студентов 5 курса по специальности «Педиатрия» (приказ №10 от 08.01.2024г.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проректора У.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Датхаев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состава Государственной экзаменационной, итоговых аттестационных и апелляционных комиссий на 2023-2024 учебный год»);</w:t>
            </w:r>
          </w:p>
          <w:p w14:paraId="60C3DF79" w14:textId="3112238A" w:rsidR="004F278B" w:rsidRPr="00533291" w:rsidRDefault="00C6078D" w:rsidP="00C6078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экспертной комиссии тестовых заданий для выпускников интернов по специальности «Педиатрия» (Приказ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КазНМУ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№92-к от 204.03.2024 года «О командировании в РОО «Национальный независимый экзаменационный центр»);</w:t>
            </w:r>
          </w:p>
          <w:p w14:paraId="1FEA2905" w14:textId="52E2419B" w:rsidR="00C6078D" w:rsidRPr="00533291" w:rsidRDefault="00C6078D" w:rsidP="00C6078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конкурсной комиссии НИРС 1 тура секции «Медицина» (приказ № 142 от 01.03.2024г.);</w:t>
            </w:r>
          </w:p>
          <w:p w14:paraId="081B2741" w14:textId="087E7157" w:rsidR="004F278B" w:rsidRPr="00533291" w:rsidRDefault="00C6078D" w:rsidP="00C6078D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Научного Комитета Школы педиатрия (Распоряжение №87 от 15.09.2023 г.);</w:t>
            </w:r>
          </w:p>
          <w:p w14:paraId="59B6C536" w14:textId="4BA29382" w:rsidR="00004423" w:rsidRPr="00843EBB" w:rsidRDefault="008D42D9" w:rsidP="00E33540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2022-2023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силлабуса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 </w:t>
            </w:r>
            <w:proofErr w:type="spellStart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«5В130100 – Общая медицина», Цикл дисциплины ПД/КВ, Код дисциплины</w:t>
            </w:r>
            <w:r w:rsidRPr="0053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В.22-NKIP.e, Наименование дисциплины «Наблюдательные клинические исследования в педиатрии», Курс 5, количество Кредиты ECTS – 3 кредит</w:t>
            </w:r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</w:t>
            </w:r>
            <w:proofErr w:type="spellStart"/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="00E3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рус., англ. языках).</w:t>
            </w:r>
            <w:r w:rsidR="00843EBB" w:rsidRPr="00843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C226E9A" w14:textId="77777777" w:rsidR="00145577" w:rsidRDefault="00145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9F1A4" w14:textId="77777777" w:rsidR="00C67B22" w:rsidRDefault="00145577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Заведующий кафедрой </w:t>
      </w:r>
    </w:p>
    <w:p w14:paraId="00FEA539" w14:textId="40F81970" w:rsidR="00145577" w:rsidRDefault="00C67B22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67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амбулаторно-поликлинической педиатрии</w:t>
      </w:r>
    </w:p>
    <w:p w14:paraId="44153241" w14:textId="138AB3D2" w:rsidR="00145577" w:rsidRDefault="00145577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КазНМУ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им.С.Д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Асфендиярова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proofErr w:type="spellStart"/>
      <w:r w:rsidR="00C67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Сейсебаева</w:t>
      </w:r>
      <w:proofErr w:type="spellEnd"/>
      <w:r w:rsidR="00C67B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Р.Ж.</w:t>
      </w:r>
    </w:p>
    <w:p w14:paraId="4B21481E" w14:textId="77777777" w:rsidR="00C67B22" w:rsidRDefault="00C67B22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C35CA71" w14:textId="77777777" w:rsidR="00145577" w:rsidRDefault="00145577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79F4164" w14:textId="77777777" w:rsidR="00A30FF7" w:rsidRDefault="00145577" w:rsidP="00C67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Руководитель управления по учету персонала</w:t>
      </w:r>
      <w:r w:rsidR="00A30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0FF9D5A0" w14:textId="26AFDAFE" w:rsidR="00145577" w:rsidRDefault="00A30FF7" w:rsidP="00B73D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КазНМУ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им.С.Д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Асфендиярова</w:t>
      </w:r>
      <w:proofErr w:type="spellEnd"/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proofErr w:type="spellStart"/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Сапакова</w:t>
      </w:r>
      <w:proofErr w:type="spellEnd"/>
      <w:r w:rsidR="001455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М.М.</w:t>
      </w:r>
    </w:p>
    <w:sectPr w:rsidR="00145577" w:rsidSect="00E33540">
      <w:headerReference w:type="default" r:id="rId9"/>
      <w:pgSz w:w="11906" w:h="16838"/>
      <w:pgMar w:top="1440" w:right="566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227B1" w14:textId="77777777" w:rsidR="00DC259F" w:rsidRDefault="00DC259F">
      <w:pPr>
        <w:spacing w:line="240" w:lineRule="auto"/>
      </w:pPr>
      <w:r>
        <w:separator/>
      </w:r>
    </w:p>
  </w:endnote>
  <w:endnote w:type="continuationSeparator" w:id="0">
    <w:p w14:paraId="4AA0B6F9" w14:textId="77777777" w:rsidR="00DC259F" w:rsidRDefault="00DC2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5A49A" w14:textId="77777777" w:rsidR="00DC259F" w:rsidRDefault="00DC259F">
      <w:pPr>
        <w:spacing w:after="0"/>
      </w:pPr>
      <w:r>
        <w:separator/>
      </w:r>
    </w:p>
  </w:footnote>
  <w:footnote w:type="continuationSeparator" w:id="0">
    <w:p w14:paraId="21D60DD7" w14:textId="77777777" w:rsidR="00DC259F" w:rsidRDefault="00DC25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15"/>
      <w:gridCol w:w="3402"/>
      <w:gridCol w:w="1655"/>
    </w:tblGrid>
    <w:tr w:rsidR="00564131" w:rsidRPr="002A6CF2" w14:paraId="7CD83335" w14:textId="77777777" w:rsidTr="002B14BD">
      <w:tc>
        <w:tcPr>
          <w:tcW w:w="1134" w:type="dxa"/>
          <w:vMerge w:val="restart"/>
        </w:tcPr>
        <w:p w14:paraId="5A43EC48" w14:textId="77777777" w:rsidR="00564131" w:rsidRPr="002A6CF2" w:rsidRDefault="00564131" w:rsidP="00C66DDF">
          <w:pPr>
            <w:pStyle w:val="a4"/>
          </w:pPr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791C5BEC" wp14:editId="4FFF690A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14:paraId="0F4BF723" w14:textId="77777777" w:rsidR="00564131" w:rsidRPr="002A6CF2" w:rsidRDefault="00564131" w:rsidP="00C66DDF">
          <w:pPr>
            <w:pStyle w:val="a4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7054B608" w14:textId="77777777" w:rsidR="00564131" w:rsidRPr="002A6CF2" w:rsidRDefault="00564131" w:rsidP="00C66DDF">
          <w:pPr>
            <w:pStyle w:val="a4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564131" w:rsidRPr="002A6CF2" w14:paraId="2DAE42C2" w14:textId="77777777" w:rsidTr="00A30FF7">
      <w:trPr>
        <w:trHeight w:val="264"/>
      </w:trPr>
      <w:tc>
        <w:tcPr>
          <w:tcW w:w="1134" w:type="dxa"/>
          <w:vMerge/>
        </w:tcPr>
        <w:p w14:paraId="0D318473" w14:textId="77777777" w:rsidR="00564131" w:rsidRPr="002A6CF2" w:rsidRDefault="00564131" w:rsidP="00C66DDF">
          <w:pPr>
            <w:pStyle w:val="a4"/>
          </w:pPr>
        </w:p>
      </w:tc>
      <w:tc>
        <w:tcPr>
          <w:tcW w:w="4015" w:type="dxa"/>
          <w:vMerge w:val="restart"/>
          <w:vAlign w:val="center"/>
        </w:tcPr>
        <w:p w14:paraId="6A394BE9" w14:textId="77777777" w:rsidR="00C67B22" w:rsidRDefault="00C67B22" w:rsidP="00A30FF7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Кафедра амбулаторно-поликлинической педиатрии</w:t>
          </w:r>
        </w:p>
        <w:p w14:paraId="4BEA901D" w14:textId="6CC1D21E" w:rsidR="00C67B22" w:rsidRPr="001634B3" w:rsidRDefault="00C67B22" w:rsidP="00A30FF7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Школа педиатрии</w:t>
          </w:r>
        </w:p>
      </w:tc>
      <w:tc>
        <w:tcPr>
          <w:tcW w:w="3402" w:type="dxa"/>
          <w:vMerge w:val="restart"/>
          <w:vAlign w:val="center"/>
        </w:tcPr>
        <w:p w14:paraId="3621A476" w14:textId="36BD35B4" w:rsidR="00564131" w:rsidRPr="001634B3" w:rsidRDefault="00564131" w:rsidP="00A30FF7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Приложение 1</w:t>
          </w:r>
        </w:p>
      </w:tc>
      <w:tc>
        <w:tcPr>
          <w:tcW w:w="1655" w:type="dxa"/>
        </w:tcPr>
        <w:p w14:paraId="43AF0DB9" w14:textId="77777777" w:rsidR="00564131" w:rsidRPr="00400557" w:rsidRDefault="00564131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564131" w:rsidRPr="002A6CF2" w14:paraId="5230C3B7" w14:textId="77777777" w:rsidTr="002B14BD">
      <w:trPr>
        <w:trHeight w:val="205"/>
      </w:trPr>
      <w:tc>
        <w:tcPr>
          <w:tcW w:w="1134" w:type="dxa"/>
          <w:vMerge/>
        </w:tcPr>
        <w:p w14:paraId="1143CA12" w14:textId="77777777" w:rsidR="00564131" w:rsidRPr="002A6CF2" w:rsidRDefault="00564131" w:rsidP="00C66DDF">
          <w:pPr>
            <w:pStyle w:val="a4"/>
          </w:pPr>
        </w:p>
      </w:tc>
      <w:tc>
        <w:tcPr>
          <w:tcW w:w="4015" w:type="dxa"/>
          <w:vMerge/>
        </w:tcPr>
        <w:p w14:paraId="70ABD3DA" w14:textId="77777777" w:rsidR="00564131" w:rsidRPr="002A6CF2" w:rsidRDefault="00564131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3402" w:type="dxa"/>
          <w:vMerge/>
        </w:tcPr>
        <w:p w14:paraId="0AEB3EB2" w14:textId="77777777" w:rsidR="00564131" w:rsidRPr="002A6CF2" w:rsidRDefault="00564131" w:rsidP="00C66DDF">
          <w:pPr>
            <w:pStyle w:val="a4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14:paraId="7DD0E6BC" w14:textId="77777777" w:rsidR="00564131" w:rsidRPr="00400557" w:rsidRDefault="00564131" w:rsidP="00C66DDF">
          <w:pPr>
            <w:pStyle w:val="a4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0C44F6" w:rsidRPr="000C44F6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0C44F6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4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10BA030D" w14:textId="77777777" w:rsidR="00564131" w:rsidRDefault="005641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5F0BDB"/>
    <w:multiLevelType w:val="singleLevel"/>
    <w:tmpl w:val="C05F0B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C525A8"/>
    <w:multiLevelType w:val="hybridMultilevel"/>
    <w:tmpl w:val="64625ABE"/>
    <w:lvl w:ilvl="0" w:tplc="BF06F3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77F"/>
    <w:multiLevelType w:val="hybridMultilevel"/>
    <w:tmpl w:val="4248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204"/>
    <w:multiLevelType w:val="hybridMultilevel"/>
    <w:tmpl w:val="C3A6400C"/>
    <w:lvl w:ilvl="0" w:tplc="7FFC5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8A7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3E1E"/>
    <w:multiLevelType w:val="hybridMultilevel"/>
    <w:tmpl w:val="A56EE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2C81"/>
    <w:multiLevelType w:val="hybridMultilevel"/>
    <w:tmpl w:val="22101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FD7CB2"/>
    <w:multiLevelType w:val="hybridMultilevel"/>
    <w:tmpl w:val="26A60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163DD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400B"/>
    <w:multiLevelType w:val="hybridMultilevel"/>
    <w:tmpl w:val="6360D488"/>
    <w:lvl w:ilvl="0" w:tplc="7FFC5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22412"/>
    <w:multiLevelType w:val="hybridMultilevel"/>
    <w:tmpl w:val="D520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352A4E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C1AEA"/>
    <w:multiLevelType w:val="hybridMultilevel"/>
    <w:tmpl w:val="EC005A5C"/>
    <w:lvl w:ilvl="0" w:tplc="40DEF69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40646"/>
    <w:multiLevelType w:val="hybridMultilevel"/>
    <w:tmpl w:val="4248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63E6E"/>
    <w:multiLevelType w:val="hybridMultilevel"/>
    <w:tmpl w:val="824AC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C5644B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763CF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46C32"/>
    <w:multiLevelType w:val="hybridMultilevel"/>
    <w:tmpl w:val="5CB4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10BCB"/>
    <w:multiLevelType w:val="hybridMultilevel"/>
    <w:tmpl w:val="3C4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CD8"/>
    <w:multiLevelType w:val="hybridMultilevel"/>
    <w:tmpl w:val="C33C6E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897BE4"/>
    <w:multiLevelType w:val="hybridMultilevel"/>
    <w:tmpl w:val="0DBE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63BD6"/>
    <w:multiLevelType w:val="hybridMultilevel"/>
    <w:tmpl w:val="F59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6"/>
  </w:num>
  <w:num w:numId="5">
    <w:abstractNumId w:val="2"/>
  </w:num>
  <w:num w:numId="6">
    <w:abstractNumId w:val="19"/>
  </w:num>
  <w:num w:numId="7">
    <w:abstractNumId w:val="13"/>
  </w:num>
  <w:num w:numId="8">
    <w:abstractNumId w:val="1"/>
  </w:num>
  <w:num w:numId="9">
    <w:abstractNumId w:val="18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21"/>
  </w:num>
  <w:num w:numId="17">
    <w:abstractNumId w:val="10"/>
  </w:num>
  <w:num w:numId="18">
    <w:abstractNumId w:val="11"/>
  </w:num>
  <w:num w:numId="19">
    <w:abstractNumId w:val="15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23"/>
    <w:rsid w:val="00004423"/>
    <w:rsid w:val="00031C88"/>
    <w:rsid w:val="0004305C"/>
    <w:rsid w:val="00082AFD"/>
    <w:rsid w:val="000875DC"/>
    <w:rsid w:val="000C44F6"/>
    <w:rsid w:val="00126277"/>
    <w:rsid w:val="00142F8E"/>
    <w:rsid w:val="00145577"/>
    <w:rsid w:val="00177B6A"/>
    <w:rsid w:val="001839A0"/>
    <w:rsid w:val="001B19EF"/>
    <w:rsid w:val="001D6C0C"/>
    <w:rsid w:val="001E4288"/>
    <w:rsid w:val="001F27E4"/>
    <w:rsid w:val="00202C05"/>
    <w:rsid w:val="002137AC"/>
    <w:rsid w:val="002138B6"/>
    <w:rsid w:val="00261452"/>
    <w:rsid w:val="00266BC4"/>
    <w:rsid w:val="00286E61"/>
    <w:rsid w:val="00294655"/>
    <w:rsid w:val="002B14BD"/>
    <w:rsid w:val="002B3A9A"/>
    <w:rsid w:val="002B6AD0"/>
    <w:rsid w:val="002C0B86"/>
    <w:rsid w:val="002D66C6"/>
    <w:rsid w:val="00363A7D"/>
    <w:rsid w:val="003958DF"/>
    <w:rsid w:val="003A0423"/>
    <w:rsid w:val="003A1021"/>
    <w:rsid w:val="003C4221"/>
    <w:rsid w:val="003E5DDD"/>
    <w:rsid w:val="0040047D"/>
    <w:rsid w:val="00414101"/>
    <w:rsid w:val="00414211"/>
    <w:rsid w:val="00440D91"/>
    <w:rsid w:val="004442D2"/>
    <w:rsid w:val="004453E9"/>
    <w:rsid w:val="00446535"/>
    <w:rsid w:val="00490B3D"/>
    <w:rsid w:val="004E1627"/>
    <w:rsid w:val="004E403C"/>
    <w:rsid w:val="004F278B"/>
    <w:rsid w:val="00515B60"/>
    <w:rsid w:val="00533291"/>
    <w:rsid w:val="00546D49"/>
    <w:rsid w:val="00555BA5"/>
    <w:rsid w:val="00564131"/>
    <w:rsid w:val="005E1D4A"/>
    <w:rsid w:val="00601FEA"/>
    <w:rsid w:val="0063395F"/>
    <w:rsid w:val="006422FD"/>
    <w:rsid w:val="00650045"/>
    <w:rsid w:val="006627F2"/>
    <w:rsid w:val="00666E0D"/>
    <w:rsid w:val="00675CB2"/>
    <w:rsid w:val="006C2BA7"/>
    <w:rsid w:val="006E2A68"/>
    <w:rsid w:val="006F5D9F"/>
    <w:rsid w:val="007402C4"/>
    <w:rsid w:val="0077221A"/>
    <w:rsid w:val="00787A35"/>
    <w:rsid w:val="007B7A43"/>
    <w:rsid w:val="007C1CA6"/>
    <w:rsid w:val="007C46A3"/>
    <w:rsid w:val="0080398A"/>
    <w:rsid w:val="00816B23"/>
    <w:rsid w:val="008229AE"/>
    <w:rsid w:val="00823355"/>
    <w:rsid w:val="00825928"/>
    <w:rsid w:val="00835B2E"/>
    <w:rsid w:val="00843EBB"/>
    <w:rsid w:val="0087214D"/>
    <w:rsid w:val="0087674F"/>
    <w:rsid w:val="008B1BE1"/>
    <w:rsid w:val="008B1D1E"/>
    <w:rsid w:val="008D42D9"/>
    <w:rsid w:val="008D53FD"/>
    <w:rsid w:val="008E6469"/>
    <w:rsid w:val="008F43AB"/>
    <w:rsid w:val="008F62E2"/>
    <w:rsid w:val="0093148A"/>
    <w:rsid w:val="0093459C"/>
    <w:rsid w:val="0094749C"/>
    <w:rsid w:val="00A02811"/>
    <w:rsid w:val="00A04347"/>
    <w:rsid w:val="00A21982"/>
    <w:rsid w:val="00A30FF7"/>
    <w:rsid w:val="00A36280"/>
    <w:rsid w:val="00A4380E"/>
    <w:rsid w:val="00A44DE3"/>
    <w:rsid w:val="00A80502"/>
    <w:rsid w:val="00A80C3E"/>
    <w:rsid w:val="00A81649"/>
    <w:rsid w:val="00AB19C2"/>
    <w:rsid w:val="00B1258C"/>
    <w:rsid w:val="00B14808"/>
    <w:rsid w:val="00B3474E"/>
    <w:rsid w:val="00B447E3"/>
    <w:rsid w:val="00B73D6F"/>
    <w:rsid w:val="00B94A3A"/>
    <w:rsid w:val="00B970AF"/>
    <w:rsid w:val="00BA68D0"/>
    <w:rsid w:val="00BB2B45"/>
    <w:rsid w:val="00BD0E2D"/>
    <w:rsid w:val="00C33846"/>
    <w:rsid w:val="00C43B86"/>
    <w:rsid w:val="00C6078D"/>
    <w:rsid w:val="00C61BA0"/>
    <w:rsid w:val="00C66DDF"/>
    <w:rsid w:val="00C67B22"/>
    <w:rsid w:val="00C846C8"/>
    <w:rsid w:val="00C86B90"/>
    <w:rsid w:val="00CA76A9"/>
    <w:rsid w:val="00CE457F"/>
    <w:rsid w:val="00CE77AF"/>
    <w:rsid w:val="00D0179D"/>
    <w:rsid w:val="00D2465B"/>
    <w:rsid w:val="00D440D4"/>
    <w:rsid w:val="00D44217"/>
    <w:rsid w:val="00D44A51"/>
    <w:rsid w:val="00D80795"/>
    <w:rsid w:val="00D80F74"/>
    <w:rsid w:val="00D902EB"/>
    <w:rsid w:val="00DC0115"/>
    <w:rsid w:val="00DC259F"/>
    <w:rsid w:val="00DE088A"/>
    <w:rsid w:val="00DE23ED"/>
    <w:rsid w:val="00DF5CE4"/>
    <w:rsid w:val="00E047ED"/>
    <w:rsid w:val="00E12B1A"/>
    <w:rsid w:val="00E22E8C"/>
    <w:rsid w:val="00E33540"/>
    <w:rsid w:val="00E553E9"/>
    <w:rsid w:val="00EA4744"/>
    <w:rsid w:val="00EA628F"/>
    <w:rsid w:val="00EA6BAE"/>
    <w:rsid w:val="00EB485E"/>
    <w:rsid w:val="00EC736A"/>
    <w:rsid w:val="00ED48EB"/>
    <w:rsid w:val="00ED6A6B"/>
    <w:rsid w:val="00EE1B59"/>
    <w:rsid w:val="00F26787"/>
    <w:rsid w:val="00F34B42"/>
    <w:rsid w:val="00F5477E"/>
    <w:rsid w:val="00F5720D"/>
    <w:rsid w:val="00F64BC0"/>
    <w:rsid w:val="00FB1494"/>
    <w:rsid w:val="00FD7079"/>
    <w:rsid w:val="04A45BAD"/>
    <w:rsid w:val="06567772"/>
    <w:rsid w:val="067C58E1"/>
    <w:rsid w:val="0D7E04AF"/>
    <w:rsid w:val="12EE319F"/>
    <w:rsid w:val="167539E5"/>
    <w:rsid w:val="1AB40C06"/>
    <w:rsid w:val="1AFD00E7"/>
    <w:rsid w:val="1B3D5CAD"/>
    <w:rsid w:val="1C7F4F6B"/>
    <w:rsid w:val="22F07AE2"/>
    <w:rsid w:val="285478B9"/>
    <w:rsid w:val="29265179"/>
    <w:rsid w:val="2C357514"/>
    <w:rsid w:val="2E7E3F56"/>
    <w:rsid w:val="2E9460F9"/>
    <w:rsid w:val="384B7FAC"/>
    <w:rsid w:val="39037B98"/>
    <w:rsid w:val="39E2365F"/>
    <w:rsid w:val="3F3A3508"/>
    <w:rsid w:val="436B4229"/>
    <w:rsid w:val="49524861"/>
    <w:rsid w:val="4E163C21"/>
    <w:rsid w:val="4FDB1864"/>
    <w:rsid w:val="54782323"/>
    <w:rsid w:val="55B960E0"/>
    <w:rsid w:val="5A7F7385"/>
    <w:rsid w:val="5F2577A4"/>
    <w:rsid w:val="5F692A42"/>
    <w:rsid w:val="64AB04E6"/>
    <w:rsid w:val="67857B63"/>
    <w:rsid w:val="6AD42215"/>
    <w:rsid w:val="6AD43AD2"/>
    <w:rsid w:val="6B1C5F75"/>
    <w:rsid w:val="6FA14630"/>
    <w:rsid w:val="730646BF"/>
    <w:rsid w:val="74350C36"/>
    <w:rsid w:val="77222583"/>
    <w:rsid w:val="77EB7A4B"/>
    <w:rsid w:val="79C1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04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DC01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428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A4380E"/>
    <w:pPr>
      <w:ind w:left="720"/>
      <w:contextualSpacing/>
    </w:pPr>
  </w:style>
  <w:style w:type="character" w:styleId="ac">
    <w:name w:val="Hyperlink"/>
    <w:basedOn w:val="a0"/>
    <w:rsid w:val="00A4380E"/>
    <w:rPr>
      <w:color w:val="0563C1" w:themeColor="hyperlink"/>
      <w:u w:val="single"/>
    </w:rPr>
  </w:style>
  <w:style w:type="paragraph" w:customStyle="1" w:styleId="Default">
    <w:name w:val="Default"/>
    <w:rsid w:val="00DC01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DC011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d">
    <w:name w:val="No Spacing"/>
    <w:link w:val="ae"/>
    <w:uiPriority w:val="1"/>
    <w:qFormat/>
    <w:rsid w:val="00C43B86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C43B86"/>
    <w:rPr>
      <w:rFonts w:ascii="Calibri" w:eastAsia="Times New Roman" w:hAnsi="Calibri"/>
      <w:sz w:val="22"/>
      <w:szCs w:val="22"/>
    </w:rPr>
  </w:style>
  <w:style w:type="character" w:styleId="af">
    <w:name w:val="FollowedHyperlink"/>
    <w:basedOn w:val="a0"/>
    <w:rsid w:val="006422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DC01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C66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D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C66D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E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4288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A4380E"/>
    <w:pPr>
      <w:ind w:left="720"/>
      <w:contextualSpacing/>
    </w:pPr>
  </w:style>
  <w:style w:type="character" w:styleId="ac">
    <w:name w:val="Hyperlink"/>
    <w:basedOn w:val="a0"/>
    <w:rsid w:val="00A4380E"/>
    <w:rPr>
      <w:color w:val="0563C1" w:themeColor="hyperlink"/>
      <w:u w:val="single"/>
    </w:rPr>
  </w:style>
  <w:style w:type="paragraph" w:customStyle="1" w:styleId="Default">
    <w:name w:val="Default"/>
    <w:rsid w:val="00DC011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DC011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d">
    <w:name w:val="No Spacing"/>
    <w:link w:val="ae"/>
    <w:uiPriority w:val="1"/>
    <w:qFormat/>
    <w:rsid w:val="00C43B86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C43B86"/>
    <w:rPr>
      <w:rFonts w:ascii="Calibri" w:eastAsia="Times New Roman" w:hAnsi="Calibri"/>
      <w:sz w:val="22"/>
      <w:szCs w:val="22"/>
    </w:rPr>
  </w:style>
  <w:style w:type="character" w:styleId="af">
    <w:name w:val="FollowedHyperlink"/>
    <w:basedOn w:val="a0"/>
    <w:rsid w:val="00642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E77B-6CBE-4791-B655-C9A8BC6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98</cp:revision>
  <cp:lastPrinted>2025-04-07T07:58:00Z</cp:lastPrinted>
  <dcterms:created xsi:type="dcterms:W3CDTF">2025-01-05T04:57:00Z</dcterms:created>
  <dcterms:modified xsi:type="dcterms:W3CDTF">2025-05-19T03:38:00Z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39E8AEE74452494A9C9A118FF3471966_12</vt:lpwstr>
  </property>
</Properties>
</file>