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34743" w14:textId="757D8A2B" w:rsidR="005B27CA" w:rsidRPr="0090409E" w:rsidRDefault="005B27CA" w:rsidP="005B27CA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14:paraId="6C1F5AE0" w14:textId="77777777" w:rsidR="00823049" w:rsidRDefault="00823049" w:rsidP="0094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C8407B" w14:textId="77777777"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114B36AD" w14:textId="77777777" w:rsidR="008934B7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о соискателе ученого звания ассоциированного профессора (доцента), </w:t>
      </w:r>
    </w:p>
    <w:p w14:paraId="4D804C5A" w14:textId="362D1AA7" w:rsid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 w:rsidR="0005364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007DE9">
        <w:rPr>
          <w:rFonts w:ascii="Times New Roman" w:hAnsi="Times New Roman" w:cs="Times New Roman"/>
          <w:b/>
          <w:bCs/>
          <w:sz w:val="24"/>
          <w:szCs w:val="24"/>
        </w:rPr>
        <w:t xml:space="preserve"> 30100</w:t>
      </w: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75186">
        <w:rPr>
          <w:rFonts w:ascii="Times New Roman" w:hAnsi="Times New Roman" w:cs="Times New Roman"/>
          <w:b/>
          <w:bCs/>
          <w:sz w:val="24"/>
          <w:szCs w:val="24"/>
        </w:rPr>
        <w:t>Медицинские науки</w:t>
      </w:r>
      <w:r w:rsidRPr="008230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B5295E" w14:textId="77777777"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"/>
        <w:gridCol w:w="3423"/>
        <w:gridCol w:w="5427"/>
      </w:tblGrid>
      <w:tr w:rsidR="00D556C5" w:rsidRPr="00D556C5" w14:paraId="133A76B7" w14:textId="77777777" w:rsidTr="00A22548">
        <w:tc>
          <w:tcPr>
            <w:tcW w:w="496" w:type="dxa"/>
          </w:tcPr>
          <w:p w14:paraId="460266D9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14:paraId="653063E7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484" w:type="dxa"/>
          </w:tcPr>
          <w:p w14:paraId="0C75834A" w14:textId="32A95E19" w:rsidR="00D556C5" w:rsidRPr="00D556C5" w:rsidRDefault="00D83673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Сулейменов Марат Смагулович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6C5" w:rsidRPr="00D556C5" w14:paraId="2C482383" w14:textId="77777777" w:rsidTr="00A22548">
        <w:tc>
          <w:tcPr>
            <w:tcW w:w="496" w:type="dxa"/>
          </w:tcPr>
          <w:p w14:paraId="44E9133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14:paraId="3C93CCF3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484" w:type="dxa"/>
          </w:tcPr>
          <w:p w14:paraId="0D2A4C30" w14:textId="01DD131F" w:rsidR="00D556C5" w:rsidRPr="00D556C5" w:rsidRDefault="004675CB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  <w:r w:rsidR="007B242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7B2422" w:rsidRPr="007B2422">
              <w:rPr>
                <w:rFonts w:ascii="Times New Roman" w:hAnsi="Times New Roman" w:cs="Times New Roman"/>
                <w:sz w:val="24"/>
                <w:szCs w:val="24"/>
              </w:rPr>
              <w:t>14.00.08 –глазные болезни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AB992F9" w14:textId="04C4189C" w:rsidR="00D556C5" w:rsidRPr="00D556C5" w:rsidRDefault="00D556C5" w:rsidP="0019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по обеспечению качества в сфере образования и науки Министерства образования и науки Республики Казахстан </w:t>
            </w:r>
            <w:r w:rsidR="007B24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1397" w:rsidRPr="0019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4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91397" w:rsidRPr="0019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декбаря</w:t>
            </w:r>
            <w:r w:rsidR="007B2422">
              <w:rPr>
                <w:rFonts w:ascii="Times New Roman" w:hAnsi="Times New Roman" w:cs="Times New Roman"/>
                <w:sz w:val="24"/>
                <w:szCs w:val="24"/>
              </w:rPr>
              <w:t xml:space="preserve"> 2009 года (п</w:t>
            </w:r>
            <w:r w:rsidR="0019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ротокол</w:t>
            </w:r>
            <w:r w:rsidR="00191397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19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0000868</w:t>
            </w:r>
          </w:p>
        </w:tc>
      </w:tr>
      <w:tr w:rsidR="00D556C5" w:rsidRPr="00D556C5" w14:paraId="57152217" w14:textId="77777777" w:rsidTr="00A22548">
        <w:tc>
          <w:tcPr>
            <w:tcW w:w="496" w:type="dxa"/>
          </w:tcPr>
          <w:p w14:paraId="66873640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14:paraId="6C391109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484" w:type="dxa"/>
          </w:tcPr>
          <w:p w14:paraId="644F73AA" w14:textId="1D54F7A9"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556C5" w:rsidRPr="00D556C5" w14:paraId="44B6B582" w14:textId="77777777" w:rsidTr="00A22548">
        <w:tc>
          <w:tcPr>
            <w:tcW w:w="496" w:type="dxa"/>
          </w:tcPr>
          <w:p w14:paraId="60C9A452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14:paraId="32B1C112" w14:textId="77777777" w:rsidR="00D556C5" w:rsidRPr="00D556C5" w:rsidRDefault="00D556C5" w:rsidP="00A22548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484" w:type="dxa"/>
          </w:tcPr>
          <w:p w14:paraId="68489CDD" w14:textId="009BD414" w:rsidR="00D556C5" w:rsidRPr="00D556C5" w:rsidRDefault="00BA7C83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Почетный профессор Казахского научно-исследовательского института глазных болезней, г. Алматы, Республика Казахстан, 05.03.2018.</w:t>
            </w:r>
          </w:p>
        </w:tc>
      </w:tr>
      <w:tr w:rsidR="00D556C5" w:rsidRPr="00D556C5" w14:paraId="4B3C5A6E" w14:textId="77777777" w:rsidTr="00A22548">
        <w:tc>
          <w:tcPr>
            <w:tcW w:w="496" w:type="dxa"/>
          </w:tcPr>
          <w:p w14:paraId="305E134B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14:paraId="241700A2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484" w:type="dxa"/>
          </w:tcPr>
          <w:p w14:paraId="21801F45" w14:textId="01BCDB47" w:rsidR="00D556C5" w:rsidRPr="00D556C5" w:rsidRDefault="00D83673" w:rsidP="00D8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кафедрой 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» НАО </w:t>
            </w:r>
            <w:proofErr w:type="spellStart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613DC0">
              <w:rPr>
                <w:rFonts w:ascii="Times New Roman" w:hAnsi="Times New Roman" w:cs="Times New Roman"/>
                <w:sz w:val="24"/>
                <w:szCs w:val="24"/>
              </w:rPr>
              <w:t xml:space="preserve"> С. Д. </w:t>
            </w:r>
            <w:proofErr w:type="spellStart"/>
            <w:r w:rsidR="00613DC0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="00613DC0">
              <w:rPr>
                <w:rFonts w:ascii="Times New Roman" w:hAnsi="Times New Roman" w:cs="Times New Roman"/>
                <w:sz w:val="24"/>
                <w:szCs w:val="24"/>
              </w:rPr>
              <w:t>, приказ №4452</w:t>
            </w:r>
            <w:r w:rsidR="0078757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613DC0">
              <w:rPr>
                <w:rFonts w:ascii="Times New Roman" w:hAnsi="Times New Roman" w:cs="Times New Roman"/>
                <w:sz w:val="24"/>
                <w:szCs w:val="24"/>
              </w:rPr>
              <w:t xml:space="preserve"> от 24.09.2014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56C5" w:rsidRPr="00D556C5" w14:paraId="7150C698" w14:textId="77777777" w:rsidTr="00A22548">
        <w:tc>
          <w:tcPr>
            <w:tcW w:w="496" w:type="dxa"/>
          </w:tcPr>
          <w:p w14:paraId="656608E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14:paraId="1671333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484" w:type="dxa"/>
          </w:tcPr>
          <w:p w14:paraId="0FC63A32" w14:textId="563D2257" w:rsidR="00D556C5" w:rsidRPr="00530EF0" w:rsidRDefault="00787578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</w:t>
            </w:r>
            <w:r w:rsidRPr="0078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специальности – 22 года 4 месяца, п</w:t>
            </w:r>
            <w:r w:rsidR="0019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едагогический стаж – 14 лет 4 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заведующего кафедрой – 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 4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B33DA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C5" w:rsidRPr="00D556C5" w14:paraId="2D3D21A6" w14:textId="77777777" w:rsidTr="00A22548">
        <w:tc>
          <w:tcPr>
            <w:tcW w:w="496" w:type="dxa"/>
          </w:tcPr>
          <w:p w14:paraId="42DFA563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14:paraId="18D89DA9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84" w:type="dxa"/>
          </w:tcPr>
          <w:p w14:paraId="492515F0" w14:textId="42D43AA7" w:rsidR="00D556C5" w:rsidRPr="00D556C5" w:rsidRDefault="008A0363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858D2">
              <w:rPr>
                <w:rFonts w:ascii="Times New Roman" w:hAnsi="Times New Roman" w:cs="Times New Roman"/>
                <w:sz w:val="24"/>
                <w:szCs w:val="24"/>
              </w:rPr>
              <w:t>_______60</w:t>
            </w:r>
            <w:bookmarkStart w:id="0" w:name="_GoBack"/>
            <w:bookmarkEnd w:id="0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2EC78536" w14:textId="5218591C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изданиях, рекомендуемых уполномоченным </w:t>
            </w:r>
            <w:r w:rsidR="008A0363">
              <w:rPr>
                <w:rFonts w:ascii="Times New Roman" w:hAnsi="Times New Roman" w:cs="Times New Roman"/>
                <w:sz w:val="24"/>
                <w:szCs w:val="24"/>
              </w:rPr>
              <w:t>органом___12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14:paraId="374E271C" w14:textId="7B947D95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10FA3">
              <w:rPr>
                <w:rFonts w:ascii="Times New Roman" w:hAnsi="Times New Roman" w:cs="Times New Roman"/>
                <w:sz w:val="24"/>
                <w:szCs w:val="24"/>
              </w:rPr>
              <w:t>лекшн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) или JSTOR (ДЖЕЙСТОР) _</w:t>
            </w:r>
            <w:r w:rsidR="00511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0F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3F2361" w14:textId="0BA336FC" w:rsidR="00D556C5" w:rsidRPr="00D556C5" w:rsidRDefault="00D556C5" w:rsidP="0031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творческих трудов</w:t>
            </w:r>
            <w:r w:rsidR="001D2E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56C5" w:rsidRPr="00D556C5" w14:paraId="775CFE57" w14:textId="77777777" w:rsidTr="00A22548">
        <w:tc>
          <w:tcPr>
            <w:tcW w:w="496" w:type="dxa"/>
          </w:tcPr>
          <w:p w14:paraId="1D4095E1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14:paraId="51C29188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84" w:type="dxa"/>
          </w:tcPr>
          <w:p w14:paraId="6EA99D4B" w14:textId="72009318" w:rsidR="00D556C5" w:rsidRPr="007264C0" w:rsidRDefault="00D556C5" w:rsidP="007264C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  <w:r w:rsidR="005114C7" w:rsidRPr="00726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114C7" w:rsidRPr="007264C0">
              <w:rPr>
                <w:rFonts w:ascii="Times New Roman" w:hAnsi="Times New Roman" w:cs="Times New Roman"/>
                <w:sz w:val="24"/>
                <w:szCs w:val="24"/>
              </w:rPr>
              <w:t>Эксимерлазерная</w:t>
            </w:r>
            <w:proofErr w:type="spellEnd"/>
            <w:r w:rsidR="005114C7"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в коррекции остаточных и индуцированных аметропий после оперативных вмешательств»</w:t>
            </w:r>
            <w:r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Утверждено к изданию </w:t>
            </w:r>
            <w:r w:rsidRPr="00726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Ученым советом НАО </w:t>
            </w:r>
            <w:proofErr w:type="spellStart"/>
            <w:r w:rsidRPr="007264C0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 им. С. Д. </w:t>
            </w:r>
            <w:proofErr w:type="spellStart"/>
            <w:r w:rsidRPr="007264C0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3DC0" w:rsidRPr="0072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60C29" w14:textId="77777777" w:rsidR="00A41CA7" w:rsidRDefault="00A41CA7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2F11" w14:textId="29E5815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6577DA"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  <w:proofErr w:type="spellStart"/>
            <w:r w:rsidR="006577DA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6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663C" w:rsidRPr="007E663C">
              <w:rPr>
                <w:rFonts w:ascii="Times New Roman" w:hAnsi="Times New Roman" w:cs="Times New Roman"/>
                <w:sz w:val="24"/>
                <w:szCs w:val="24"/>
              </w:rPr>
              <w:t>№  7</w:t>
            </w:r>
            <w:proofErr w:type="gramEnd"/>
            <w:r w:rsidR="007E663C" w:rsidRPr="007E663C">
              <w:rPr>
                <w:rFonts w:ascii="Times New Roman" w:hAnsi="Times New Roman" w:cs="Times New Roman"/>
                <w:sz w:val="24"/>
                <w:szCs w:val="24"/>
              </w:rPr>
              <w:t xml:space="preserve"> от 27.02.2025</w:t>
            </w:r>
          </w:p>
          <w:p w14:paraId="58AA9871" w14:textId="66CE32A2" w:rsidR="00D556C5" w:rsidRDefault="00D556C5" w:rsidP="0046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51" w:rsidRPr="007D4E51">
              <w:rPr>
                <w:rFonts w:ascii="Times New Roman" w:hAnsi="Times New Roman" w:cs="Times New Roman"/>
                <w:sz w:val="24"/>
                <w:szCs w:val="24"/>
              </w:rPr>
              <w:t xml:space="preserve"> 978-601-13-0400-9</w:t>
            </w:r>
          </w:p>
          <w:p w14:paraId="0F7960CC" w14:textId="69050885" w:rsidR="00333F57" w:rsidRPr="00333F57" w:rsidRDefault="00333F57" w:rsidP="00333F5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рекомендация – Алгоритм подбора мягких контактных линз. Лещенко И.А., Сулейменов М.С., </w:t>
            </w:r>
            <w:proofErr w:type="spell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Утельбаева</w:t>
            </w:r>
            <w:proofErr w:type="spell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З.Т., </w:t>
            </w:r>
            <w:proofErr w:type="spell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Бердишева</w:t>
            </w:r>
            <w:proofErr w:type="spell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А.А. Алматы 2024 г. Утверждено к изданию Академическим советом НАО </w:t>
            </w:r>
            <w:proofErr w:type="spell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им. С. Д. </w:t>
            </w:r>
            <w:proofErr w:type="spell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УС </w:t>
            </w:r>
            <w:proofErr w:type="spell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>№  7</w:t>
            </w:r>
            <w:proofErr w:type="gramEnd"/>
            <w:r w:rsidRPr="00333F57">
              <w:rPr>
                <w:rFonts w:ascii="Times New Roman" w:hAnsi="Times New Roman" w:cs="Times New Roman"/>
                <w:sz w:val="24"/>
                <w:szCs w:val="24"/>
              </w:rPr>
              <w:t xml:space="preserve"> от 27.02.2025 ISBN  978-601-13-0400-9.</w:t>
            </w:r>
          </w:p>
          <w:p w14:paraId="4631963A" w14:textId="094FE255" w:rsidR="003C2D00" w:rsidRPr="00D556C5" w:rsidRDefault="003C2D00" w:rsidP="00466E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6C5" w:rsidRPr="00D556C5" w14:paraId="332E1EC9" w14:textId="77777777" w:rsidTr="00A22548">
        <w:tc>
          <w:tcPr>
            <w:tcW w:w="496" w:type="dxa"/>
          </w:tcPr>
          <w:p w14:paraId="4596568D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40" w:type="dxa"/>
          </w:tcPr>
          <w:p w14:paraId="33833E4F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профилю.</w:t>
            </w:r>
          </w:p>
        </w:tc>
        <w:tc>
          <w:tcPr>
            <w:tcW w:w="5484" w:type="dxa"/>
          </w:tcPr>
          <w:p w14:paraId="4CFA236E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14:paraId="5CDC9AC4" w14:textId="77777777" w:rsidTr="00A22548">
        <w:tc>
          <w:tcPr>
            <w:tcW w:w="496" w:type="dxa"/>
          </w:tcPr>
          <w:p w14:paraId="0B5FC71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63896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14:paraId="1095D44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84" w:type="dxa"/>
          </w:tcPr>
          <w:p w14:paraId="5EFD259E" w14:textId="7BF6427A" w:rsidR="00D556C5" w:rsidRPr="0008088E" w:rsidRDefault="00D556C5" w:rsidP="000808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8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на </w:t>
            </w:r>
            <w:proofErr w:type="gramStart"/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proofErr w:type="gramEnd"/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2024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офтальмологии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 2 курса</w:t>
            </w:r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>Офтальмология, в том числе детская» (Алматы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5114C7" w:rsidRPr="00080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  <w:p w14:paraId="5286D5FF" w14:textId="77777777" w:rsidR="0008088E" w:rsidRDefault="0008088E" w:rsidP="0051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FD55" w14:textId="54A17EB5" w:rsidR="00D556C5" w:rsidRPr="00D556C5" w:rsidRDefault="00D556C5" w:rsidP="00511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="005114C7">
              <w:rPr>
                <w:rFonts w:ascii="Times New Roman" w:hAnsi="Times New Roman" w:cs="Times New Roman"/>
                <w:sz w:val="24"/>
                <w:szCs w:val="24"/>
              </w:rPr>
              <w:t xml:space="preserve"> Сулейменов М.С. </w:t>
            </w:r>
          </w:p>
        </w:tc>
      </w:tr>
      <w:tr w:rsidR="00D556C5" w:rsidRPr="00D556C5" w14:paraId="138B5034" w14:textId="77777777" w:rsidTr="00A22548">
        <w:tc>
          <w:tcPr>
            <w:tcW w:w="496" w:type="dxa"/>
          </w:tcPr>
          <w:p w14:paraId="162A38D5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14:paraId="6CD2FEDF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84" w:type="dxa"/>
          </w:tcPr>
          <w:p w14:paraId="75889364" w14:textId="7777777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14:paraId="29C625E1" w14:textId="77777777" w:rsidTr="00A22548">
        <w:tc>
          <w:tcPr>
            <w:tcW w:w="496" w:type="dxa"/>
          </w:tcPr>
          <w:p w14:paraId="62908B84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14:paraId="5E4542BC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84" w:type="dxa"/>
          </w:tcPr>
          <w:p w14:paraId="221E02D6" w14:textId="3BAA3A90" w:rsidR="00D556C5" w:rsidRPr="0008088E" w:rsidRDefault="00D556C5" w:rsidP="0008088E">
            <w:pPr>
              <w:pStyle w:val="a3"/>
              <w:numPr>
                <w:ilvl w:val="0"/>
                <w:numId w:val="5"/>
              </w:numP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spellStart"/>
            <w:proofErr w:type="gram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 при</w:t>
            </w:r>
            <w:proofErr w:type="gram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Общественного фонда «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халқына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», Министерства здравоохранения РК и Глазного банка «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Lions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>Тампа</w:t>
            </w:r>
            <w:proofErr w:type="spellEnd"/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88E" w:rsidRPr="0008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Флорида, США по трансплантации донорской роговицы с мая 2023 года в Казахстане</w:t>
            </w:r>
          </w:p>
          <w:p w14:paraId="6CEFDE59" w14:textId="5645A1B0" w:rsidR="00514FD3" w:rsidRPr="00514FD3" w:rsidRDefault="00D556C5" w:rsidP="0008088E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Входит в состав Государственной экзаменационной и Итоговой аттестационной комиссий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1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AB78C2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proofErr w:type="spellEnd"/>
            <w:r w:rsidR="00AB78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55FC">
              <w:rPr>
                <w:rFonts w:ascii="Times New Roman" w:hAnsi="Times New Roman" w:cs="Times New Roman"/>
                <w:sz w:val="24"/>
                <w:szCs w:val="24"/>
              </w:rPr>
              <w:t>Офтальмология, в том числе детская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DB74305" w14:textId="15CB52AC" w:rsidR="007706C5" w:rsidRDefault="00C66800" w:rsidP="0008088E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Научного Комитета</w:t>
            </w:r>
            <w:r w:rsidR="00D556C5" w:rsidRPr="00C6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87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7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55FC">
              <w:rPr>
                <w:rFonts w:ascii="Times New Roman" w:hAnsi="Times New Roman" w:cs="Times New Roman"/>
                <w:sz w:val="24"/>
                <w:szCs w:val="24"/>
              </w:rPr>
              <w:t xml:space="preserve">2019, 2020, 2021, 2022, </w:t>
            </w:r>
            <w:r w:rsidR="0038756E">
              <w:rPr>
                <w:rFonts w:ascii="Times New Roman" w:hAnsi="Times New Roman" w:cs="Times New Roman"/>
                <w:sz w:val="24"/>
                <w:szCs w:val="24"/>
              </w:rPr>
              <w:t>2023,2024,2025)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BD4062" w14:textId="77777777" w:rsidR="006C24B6" w:rsidRPr="006C24B6" w:rsidRDefault="006C24B6" w:rsidP="006C24B6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Нагрудный знак «Қазақстан Республикасы денсаулық сақтау ісінің үздігі»</w:t>
            </w:r>
          </w:p>
          <w:p w14:paraId="2B5BC505" w14:textId="77777777" w:rsidR="006C24B6" w:rsidRPr="006C24B6" w:rsidRDefault="006C24B6" w:rsidP="006C24B6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Юбилейная медаль «Қазақстан Республикасының тәуелсіздігіне 20 жыл»</w:t>
            </w:r>
          </w:p>
          <w:p w14:paraId="7AA22D59" w14:textId="77777777" w:rsidR="006C24B6" w:rsidRPr="006C24B6" w:rsidRDefault="006C24B6" w:rsidP="006C24B6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Благодарность Министра здравоохранения РК</w:t>
            </w:r>
          </w:p>
          <w:p w14:paraId="3AB2BC0C" w14:textId="77777777" w:rsidR="006C24B6" w:rsidRPr="006C24B6" w:rsidRDefault="006C24B6" w:rsidP="006C24B6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 департамента здравоохранения  г. Алматы</w:t>
            </w:r>
          </w:p>
          <w:p w14:paraId="342F569F" w14:textId="75E4F6FE" w:rsidR="006C24B6" w:rsidRDefault="006C24B6" w:rsidP="006C24B6">
            <w:pPr>
              <w:pStyle w:val="a3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Благодарность политсовета НДП «Hyp Отан» г. Алматы, г. Астаны</w:t>
            </w:r>
          </w:p>
          <w:p w14:paraId="2943D16E" w14:textId="64DCDCD0" w:rsidR="00C66800" w:rsidRPr="0074368D" w:rsidRDefault="00C66800" w:rsidP="009755FC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960E585" w14:textId="77777777" w:rsidR="0090409E" w:rsidRPr="00D556C5" w:rsidRDefault="0090409E" w:rsidP="00262000">
      <w:pPr>
        <w:rPr>
          <w:rFonts w:ascii="Times New Roman" w:hAnsi="Times New Roman" w:cs="Times New Roman"/>
          <w:b/>
          <w:sz w:val="24"/>
          <w:szCs w:val="24"/>
        </w:rPr>
      </w:pPr>
    </w:p>
    <w:p w14:paraId="7179364B" w14:textId="77777777" w:rsidR="0008088E" w:rsidRDefault="0008088E" w:rsidP="0097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B3772A" w14:textId="77777777" w:rsidR="0008088E" w:rsidRDefault="0008088E" w:rsidP="0097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E3CF8" w14:textId="77777777" w:rsidR="0008088E" w:rsidRDefault="0008088E" w:rsidP="0097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CBC56" w14:textId="47EF6B90" w:rsidR="004E3280" w:rsidRDefault="009755FC" w:rsidP="0097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FC">
        <w:rPr>
          <w:rFonts w:ascii="Times New Roman" w:hAnsi="Times New Roman" w:cs="Times New Roman"/>
          <w:b/>
          <w:sz w:val="24"/>
          <w:szCs w:val="24"/>
        </w:rPr>
        <w:t>Декан Школы «Общая медицина</w:t>
      </w:r>
      <w:proofErr w:type="gramStart"/>
      <w:r w:rsidRPr="009755FC">
        <w:rPr>
          <w:rFonts w:ascii="Times New Roman" w:hAnsi="Times New Roman" w:cs="Times New Roman"/>
          <w:b/>
          <w:sz w:val="24"/>
          <w:szCs w:val="24"/>
        </w:rPr>
        <w:t>»</w:t>
      </w:r>
      <w:r w:rsidR="00494E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3D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613D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="00613DC0">
        <w:rPr>
          <w:rFonts w:ascii="Times New Roman" w:hAnsi="Times New Roman" w:cs="Times New Roman"/>
          <w:b/>
          <w:sz w:val="24"/>
          <w:szCs w:val="24"/>
        </w:rPr>
        <w:t>Шопаева</w:t>
      </w:r>
      <w:proofErr w:type="spellEnd"/>
      <w:r w:rsidR="00613DC0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14:paraId="75B593DC" w14:textId="6C769F06" w:rsidR="009415CA" w:rsidRPr="00494EC5" w:rsidRDefault="00613DC0" w:rsidP="002620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д.м.н.</w:t>
      </w:r>
      <w:r w:rsidR="0090409E" w:rsidRPr="009040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94EC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E3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94EC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94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EC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proofErr w:type="gramEnd"/>
    </w:p>
    <w:p w14:paraId="60B8D436" w14:textId="77777777" w:rsidR="00494EC5" w:rsidRDefault="00494EC5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5B1F84" w14:textId="77777777"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управления </w:t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proofErr w:type="spell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Сапакова</w:t>
      </w:r>
      <w:proofErr w:type="spell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</w:p>
    <w:p w14:paraId="47D4D967" w14:textId="77777777"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>по учету персонала</w:t>
      </w:r>
    </w:p>
    <w:p w14:paraId="0AF6DC2E" w14:textId="746FE882" w:rsidR="002C22D3" w:rsidRPr="0090409E" w:rsidRDefault="0090409E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040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F296F8" w14:textId="3A8378DA" w:rsidR="0090409E" w:rsidRPr="0090409E" w:rsidRDefault="0090409E" w:rsidP="0090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0409E" w:rsidRPr="009040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5516" w14:textId="77777777" w:rsidR="00FC661C" w:rsidRDefault="00FC661C" w:rsidP="008934B7">
      <w:pPr>
        <w:spacing w:after="0" w:line="240" w:lineRule="auto"/>
      </w:pPr>
      <w:r>
        <w:separator/>
      </w:r>
    </w:p>
  </w:endnote>
  <w:endnote w:type="continuationSeparator" w:id="0">
    <w:p w14:paraId="20BBF27C" w14:textId="77777777" w:rsidR="00FC661C" w:rsidRDefault="00FC661C" w:rsidP="008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4153F" w14:textId="77777777" w:rsidR="00FC661C" w:rsidRDefault="00FC661C" w:rsidP="008934B7">
      <w:pPr>
        <w:spacing w:after="0" w:line="240" w:lineRule="auto"/>
      </w:pPr>
      <w:r>
        <w:separator/>
      </w:r>
    </w:p>
  </w:footnote>
  <w:footnote w:type="continuationSeparator" w:id="0">
    <w:p w14:paraId="578F1868" w14:textId="77777777" w:rsidR="00FC661C" w:rsidRDefault="00FC661C" w:rsidP="008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8"/>
      <w:gridCol w:w="3075"/>
      <w:gridCol w:w="2911"/>
      <w:gridCol w:w="2191"/>
    </w:tblGrid>
    <w:tr w:rsidR="00B27B99" w:rsidRPr="00D678C9" w14:paraId="50D3F9C9" w14:textId="77777777" w:rsidTr="00B27B99">
      <w:tc>
        <w:tcPr>
          <w:tcW w:w="615" w:type="pct"/>
          <w:vMerge w:val="restart"/>
        </w:tcPr>
        <w:p w14:paraId="4F882C9D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sz w:val="6"/>
            </w:rPr>
          </w:pPr>
        </w:p>
        <w:p w14:paraId="36246C3C" w14:textId="77777777" w:rsidR="00B27B99" w:rsidRPr="00D678C9" w:rsidRDefault="00B27B99" w:rsidP="00B27B99">
          <w:r w:rsidRPr="00D678C9">
            <w:rPr>
              <w:noProof/>
            </w:rPr>
            <w:drawing>
              <wp:inline distT="0" distB="0" distL="0" distR="0" wp14:anchorId="36FDBC52" wp14:editId="3F2E69EF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2E591489" w14:textId="77777777"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2A75A456" w14:textId="77777777" w:rsidR="00B27B99" w:rsidRPr="00D678C9" w:rsidRDefault="00B27B99" w:rsidP="00B27B99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E2E458A" w14:textId="77777777"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502EB837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678C9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2B5E0434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</w:rPr>
          </w:pPr>
        </w:p>
      </w:tc>
    </w:tr>
    <w:tr w:rsidR="00B27B99" w:rsidRPr="00D678C9" w14:paraId="2F0EBFAD" w14:textId="77777777" w:rsidTr="00B27B99">
      <w:trPr>
        <w:trHeight w:val="264"/>
      </w:trPr>
      <w:tc>
        <w:tcPr>
          <w:tcW w:w="615" w:type="pct"/>
          <w:vMerge/>
        </w:tcPr>
        <w:p w14:paraId="6F226504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 w:val="restart"/>
        </w:tcPr>
        <w:p w14:paraId="24903167" w14:textId="77777777" w:rsid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14:paraId="71A76B82" w14:textId="3C585A62"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 xml:space="preserve">Отдел кадров </w:t>
          </w:r>
        </w:p>
      </w:tc>
      <w:tc>
        <w:tcPr>
          <w:tcW w:w="1561" w:type="pct"/>
          <w:vMerge w:val="restart"/>
        </w:tcPr>
        <w:p w14:paraId="3ED448F9" w14:textId="77777777" w:rsidR="00B27B99" w:rsidRPr="00D678C9" w:rsidRDefault="00B27B99" w:rsidP="00B27B99">
          <w:pPr>
            <w:jc w:val="center"/>
            <w:rPr>
              <w:rFonts w:ascii="Times New Roman" w:hAnsi="Times New Roman"/>
              <w:sz w:val="8"/>
              <w:szCs w:val="17"/>
              <w:lang w:val="kk-KZ"/>
            </w:rPr>
          </w:pPr>
        </w:p>
        <w:p w14:paraId="71003DEA" w14:textId="4A73EAB3" w:rsidR="00B27B99" w:rsidRPr="00B27B99" w:rsidRDefault="00B27B99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B27B99">
            <w:rPr>
              <w:rFonts w:ascii="Times New Roman" w:hAnsi="Times New Roman"/>
              <w:sz w:val="18"/>
              <w:szCs w:val="18"/>
              <w:lang w:val="kk-KZ"/>
            </w:rPr>
            <w:t>Приложение 1</w:t>
          </w:r>
        </w:p>
        <w:p w14:paraId="31542276" w14:textId="77777777" w:rsidR="00B27B99" w:rsidRPr="00D678C9" w:rsidRDefault="00B27B99" w:rsidP="00B27B99">
          <w:pPr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03BAC470" w14:textId="715213CF" w:rsidR="00B27B99" w:rsidRP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</w:rPr>
          </w:pPr>
          <w:r w:rsidRPr="00D678C9"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 w:rsidRPr="00D678C9"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B27B99" w:rsidRPr="00D678C9" w14:paraId="288FFD86" w14:textId="77777777" w:rsidTr="00B27B99">
      <w:trPr>
        <w:trHeight w:val="205"/>
      </w:trPr>
      <w:tc>
        <w:tcPr>
          <w:tcW w:w="615" w:type="pct"/>
          <w:vMerge/>
        </w:tcPr>
        <w:p w14:paraId="63DC1228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/>
        </w:tcPr>
        <w:p w14:paraId="0CB17F39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561" w:type="pct"/>
          <w:vMerge/>
        </w:tcPr>
        <w:p w14:paraId="106A5665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175" w:type="pct"/>
        </w:tcPr>
        <w:p w14:paraId="5A812C5E" w14:textId="4CD35370"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Страница 1 из 1</w:t>
          </w:r>
        </w:p>
      </w:tc>
    </w:tr>
  </w:tbl>
  <w:p w14:paraId="5BD3A9D3" w14:textId="77777777" w:rsidR="008934B7" w:rsidRDefault="008934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EDE"/>
    <w:multiLevelType w:val="hybridMultilevel"/>
    <w:tmpl w:val="109A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F04"/>
    <w:multiLevelType w:val="hybridMultilevel"/>
    <w:tmpl w:val="192ABEBC"/>
    <w:lvl w:ilvl="0" w:tplc="BE3EE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9D0"/>
    <w:multiLevelType w:val="hybridMultilevel"/>
    <w:tmpl w:val="D24A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39B4"/>
    <w:multiLevelType w:val="hybridMultilevel"/>
    <w:tmpl w:val="38100BC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281E97"/>
    <w:multiLevelType w:val="hybridMultilevel"/>
    <w:tmpl w:val="9876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2564"/>
    <w:multiLevelType w:val="hybridMultilevel"/>
    <w:tmpl w:val="3D9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85C29"/>
    <w:multiLevelType w:val="hybridMultilevel"/>
    <w:tmpl w:val="1826D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CA"/>
    <w:rsid w:val="00007DE9"/>
    <w:rsid w:val="00052F4F"/>
    <w:rsid w:val="0005364B"/>
    <w:rsid w:val="0006249B"/>
    <w:rsid w:val="0008088E"/>
    <w:rsid w:val="00083FA9"/>
    <w:rsid w:val="000A1B95"/>
    <w:rsid w:val="000C6DD1"/>
    <w:rsid w:val="000E6D82"/>
    <w:rsid w:val="000F4E4B"/>
    <w:rsid w:val="000F6E12"/>
    <w:rsid w:val="0017307A"/>
    <w:rsid w:val="00182670"/>
    <w:rsid w:val="00191397"/>
    <w:rsid w:val="001D2E15"/>
    <w:rsid w:val="001D2E39"/>
    <w:rsid w:val="00213127"/>
    <w:rsid w:val="00216DFB"/>
    <w:rsid w:val="002339C6"/>
    <w:rsid w:val="002462E4"/>
    <w:rsid w:val="00261FC2"/>
    <w:rsid w:val="00262000"/>
    <w:rsid w:val="002741F0"/>
    <w:rsid w:val="002C22D3"/>
    <w:rsid w:val="002D241D"/>
    <w:rsid w:val="00305FEA"/>
    <w:rsid w:val="00310FA3"/>
    <w:rsid w:val="00321723"/>
    <w:rsid w:val="00333F57"/>
    <w:rsid w:val="003448EE"/>
    <w:rsid w:val="00365AE9"/>
    <w:rsid w:val="00371392"/>
    <w:rsid w:val="003735D3"/>
    <w:rsid w:val="0038756E"/>
    <w:rsid w:val="00390676"/>
    <w:rsid w:val="003B1739"/>
    <w:rsid w:val="003C2D00"/>
    <w:rsid w:val="003C3A3C"/>
    <w:rsid w:val="0040257D"/>
    <w:rsid w:val="00460235"/>
    <w:rsid w:val="00466E6B"/>
    <w:rsid w:val="004675CB"/>
    <w:rsid w:val="00494EC5"/>
    <w:rsid w:val="004B55B0"/>
    <w:rsid w:val="004C09E7"/>
    <w:rsid w:val="004D0A6B"/>
    <w:rsid w:val="004D5ABC"/>
    <w:rsid w:val="004E0A97"/>
    <w:rsid w:val="004E3280"/>
    <w:rsid w:val="00507A72"/>
    <w:rsid w:val="00507B0A"/>
    <w:rsid w:val="005114C7"/>
    <w:rsid w:val="00514FD3"/>
    <w:rsid w:val="00530EF0"/>
    <w:rsid w:val="005578DE"/>
    <w:rsid w:val="00576BD1"/>
    <w:rsid w:val="005B27CA"/>
    <w:rsid w:val="005B5822"/>
    <w:rsid w:val="00613DC0"/>
    <w:rsid w:val="006314F0"/>
    <w:rsid w:val="00643DCD"/>
    <w:rsid w:val="006577DA"/>
    <w:rsid w:val="00676174"/>
    <w:rsid w:val="00694C9F"/>
    <w:rsid w:val="006C24B6"/>
    <w:rsid w:val="00722464"/>
    <w:rsid w:val="007264C0"/>
    <w:rsid w:val="007304C8"/>
    <w:rsid w:val="00735210"/>
    <w:rsid w:val="00737F89"/>
    <w:rsid w:val="0074368D"/>
    <w:rsid w:val="00746A58"/>
    <w:rsid w:val="007706C5"/>
    <w:rsid w:val="00787578"/>
    <w:rsid w:val="00787FA0"/>
    <w:rsid w:val="007B0C38"/>
    <w:rsid w:val="007B2422"/>
    <w:rsid w:val="007D2AE6"/>
    <w:rsid w:val="007D4E51"/>
    <w:rsid w:val="007E5664"/>
    <w:rsid w:val="007E663C"/>
    <w:rsid w:val="007F0CA7"/>
    <w:rsid w:val="00823049"/>
    <w:rsid w:val="0083629D"/>
    <w:rsid w:val="008934B7"/>
    <w:rsid w:val="008A0363"/>
    <w:rsid w:val="008A1787"/>
    <w:rsid w:val="008C0713"/>
    <w:rsid w:val="008E75E0"/>
    <w:rsid w:val="0090409E"/>
    <w:rsid w:val="00904685"/>
    <w:rsid w:val="009415CA"/>
    <w:rsid w:val="009755FC"/>
    <w:rsid w:val="009834A3"/>
    <w:rsid w:val="009858D2"/>
    <w:rsid w:val="00994BFD"/>
    <w:rsid w:val="009B35B9"/>
    <w:rsid w:val="009B71E5"/>
    <w:rsid w:val="009D17AF"/>
    <w:rsid w:val="009E1484"/>
    <w:rsid w:val="009E39E2"/>
    <w:rsid w:val="00A169B9"/>
    <w:rsid w:val="00A41CA7"/>
    <w:rsid w:val="00A50ADA"/>
    <w:rsid w:val="00A6659A"/>
    <w:rsid w:val="00A7754B"/>
    <w:rsid w:val="00AB78C2"/>
    <w:rsid w:val="00AC0F1D"/>
    <w:rsid w:val="00AD4169"/>
    <w:rsid w:val="00B14BC3"/>
    <w:rsid w:val="00B15E4E"/>
    <w:rsid w:val="00B27B99"/>
    <w:rsid w:val="00B27EDF"/>
    <w:rsid w:val="00B3114C"/>
    <w:rsid w:val="00B549D3"/>
    <w:rsid w:val="00BA7C83"/>
    <w:rsid w:val="00BF10DC"/>
    <w:rsid w:val="00C63016"/>
    <w:rsid w:val="00C63ED5"/>
    <w:rsid w:val="00C66800"/>
    <w:rsid w:val="00CC405B"/>
    <w:rsid w:val="00CD2B9C"/>
    <w:rsid w:val="00CE3CAE"/>
    <w:rsid w:val="00D23D06"/>
    <w:rsid w:val="00D32AC5"/>
    <w:rsid w:val="00D46AA9"/>
    <w:rsid w:val="00D556C5"/>
    <w:rsid w:val="00D71F26"/>
    <w:rsid w:val="00D82DD7"/>
    <w:rsid w:val="00D83673"/>
    <w:rsid w:val="00DB472B"/>
    <w:rsid w:val="00DF5D5E"/>
    <w:rsid w:val="00E07A58"/>
    <w:rsid w:val="00E214C4"/>
    <w:rsid w:val="00E2411B"/>
    <w:rsid w:val="00E353F8"/>
    <w:rsid w:val="00EA43F7"/>
    <w:rsid w:val="00EB223F"/>
    <w:rsid w:val="00EB709E"/>
    <w:rsid w:val="00EC7525"/>
    <w:rsid w:val="00ED3615"/>
    <w:rsid w:val="00ED52F0"/>
    <w:rsid w:val="00ED76BA"/>
    <w:rsid w:val="00F0325E"/>
    <w:rsid w:val="00F735BA"/>
    <w:rsid w:val="00F75186"/>
    <w:rsid w:val="00F7634B"/>
    <w:rsid w:val="00F802E5"/>
    <w:rsid w:val="00F82A05"/>
    <w:rsid w:val="00F912CA"/>
    <w:rsid w:val="00F97141"/>
    <w:rsid w:val="00FC661C"/>
    <w:rsid w:val="00FD035C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2EFA6"/>
  <w15:chartTrackingRefBased/>
  <w15:docId w15:val="{DF130DC5-C489-4E1C-9835-640D5A0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5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415CA"/>
  </w:style>
  <w:style w:type="character" w:styleId="a5">
    <w:name w:val="Hyperlink"/>
    <w:basedOn w:val="a0"/>
    <w:uiPriority w:val="99"/>
    <w:unhideWhenUsed/>
    <w:rsid w:val="007B0C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C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4B7"/>
  </w:style>
  <w:style w:type="paragraph" w:styleId="a8">
    <w:name w:val="footer"/>
    <w:basedOn w:val="a"/>
    <w:link w:val="a9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4B7"/>
  </w:style>
  <w:style w:type="table" w:styleId="aa">
    <w:name w:val="Table Grid"/>
    <w:basedOn w:val="a1"/>
    <w:uiPriority w:val="39"/>
    <w:rsid w:val="0089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qFormat/>
    <w:rsid w:val="00B27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1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2025-04-09T07:20:00Z</cp:lastPrinted>
  <dcterms:created xsi:type="dcterms:W3CDTF">2025-02-27T03:44:00Z</dcterms:created>
  <dcterms:modified xsi:type="dcterms:W3CDTF">2025-05-13T04:33:00Z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b9f008b7729045cd3ee22283ef68ed7e6d4c8a81b2ec9c04ffa8dedaa0018181</vt:lpwstr>
  </property>
</Properties>
</file>