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D7C1" w14:textId="3D1AD74B" w:rsidR="00004423" w:rsidRPr="00C02E83" w:rsidRDefault="006D5B6C" w:rsidP="006D5B6C">
      <w:pPr>
        <w:shd w:val="clear" w:color="auto" w:fill="FFFFFF"/>
        <w:spacing w:after="0" w:line="240" w:lineRule="auto"/>
        <w:ind w:right="-1050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C02E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CBD" w:rsidRPr="00C02E8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E76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CBD" w:rsidRPr="00C02E83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36857" w:rsidRPr="00C02E83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1CF4173E" w14:textId="0E77F389" w:rsidR="00C02E83" w:rsidRPr="00C02E83" w:rsidRDefault="00C02E83" w:rsidP="00C02E83">
      <w:pPr>
        <w:shd w:val="clear" w:color="auto" w:fill="FFFFFF"/>
        <w:spacing w:after="0" w:line="240" w:lineRule="auto"/>
        <w:ind w:right="-1050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C02E83">
        <w:rPr>
          <w:rFonts w:ascii="Times New Roman" w:hAnsi="Times New Roman" w:cs="Times New Roman"/>
          <w:sz w:val="24"/>
          <w:szCs w:val="24"/>
          <w:lang w:val="kk-KZ"/>
        </w:rPr>
        <w:t>Ғылыми атақтар (қауымдастырылған</w:t>
      </w:r>
    </w:p>
    <w:p w14:paraId="0D51361A" w14:textId="10E6CF39" w:rsidR="00C02E83" w:rsidRPr="00C02E83" w:rsidRDefault="00C02E83" w:rsidP="00C02E83">
      <w:pPr>
        <w:shd w:val="clear" w:color="auto" w:fill="FFFFFF"/>
        <w:spacing w:after="0" w:line="240" w:lineRule="auto"/>
        <w:ind w:right="-1050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C02E83">
        <w:rPr>
          <w:rFonts w:ascii="Times New Roman" w:hAnsi="Times New Roman" w:cs="Times New Roman"/>
          <w:sz w:val="24"/>
          <w:szCs w:val="24"/>
          <w:lang w:val="kk-KZ"/>
        </w:rPr>
        <w:t>профессор (доцент), профессор)</w:t>
      </w:r>
      <w:r w:rsidRPr="00763FAF">
        <w:rPr>
          <w:lang w:val="kk-KZ"/>
        </w:rPr>
        <w:t xml:space="preserve"> </w:t>
      </w:r>
      <w:r w:rsidRPr="00C02E83">
        <w:rPr>
          <w:rFonts w:ascii="Times New Roman" w:hAnsi="Times New Roman" w:cs="Times New Roman"/>
          <w:sz w:val="24"/>
          <w:szCs w:val="24"/>
          <w:lang w:val="kk-KZ"/>
        </w:rPr>
        <w:t>беру ережелеріне сәйкес</w:t>
      </w:r>
    </w:p>
    <w:p w14:paraId="3F1BBDA8" w14:textId="77777777" w:rsidR="00197CBD" w:rsidRPr="00530419" w:rsidRDefault="00197CBD" w:rsidP="00197CBD">
      <w:pPr>
        <w:pStyle w:val="a4"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5C128517" w14:textId="77777777" w:rsidR="00C02E83" w:rsidRDefault="00C02E83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</w:p>
    <w:p w14:paraId="27E16A31" w14:textId="24F47210" w:rsidR="00E36857" w:rsidRPr="00E36857" w:rsidRDefault="00162A61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30100 «</w:t>
      </w:r>
      <w:r w:rsidR="00271B08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Медициналық ғылымдар</w:t>
      </w:r>
      <w:r w:rsidR="007302BC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»</w:t>
      </w:r>
      <w:r w:rsidR="00E36857"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ғылыми бағыты бойынша</w:t>
      </w:r>
    </w:p>
    <w:p w14:paraId="0768DEB3" w14:textId="136A3C99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“Қауымдастырған профессор» ғылыми атағына ізденуші туралы</w:t>
      </w:r>
    </w:p>
    <w:p w14:paraId="18761AED" w14:textId="4064BED4" w:rsidR="00004423" w:rsidRDefault="00E36857" w:rsidP="00530419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</w:p>
    <w:tbl>
      <w:tblPr>
        <w:tblW w:w="5724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4424"/>
        <w:gridCol w:w="4792"/>
      </w:tblGrid>
      <w:tr w:rsidR="008219B5" w14:paraId="603CC23C" w14:textId="77777777" w:rsidTr="00D94F35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3A335" w14:textId="01251AF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8E910" w14:textId="692F0BB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A20F96" w14:textId="59129E91" w:rsidR="008219B5" w:rsidRDefault="00162A61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Марат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Смагулович</w:t>
            </w:r>
            <w:proofErr w:type="spellEnd"/>
          </w:p>
        </w:tc>
      </w:tr>
      <w:tr w:rsidR="008219B5" w14:paraId="6D9F250E" w14:textId="77777777" w:rsidTr="00D94F35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EBBA3" w14:textId="77777777" w:rsidR="008219B5" w:rsidRPr="008219B5" w:rsidRDefault="008219B5" w:rsidP="008219B5">
            <w:pPr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14:paraId="15F46259" w14:textId="5C01645C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2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DAF0C" w14:textId="4820D42B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кандидаты, 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,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доктор)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академиялық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D08FF" w14:textId="29048050" w:rsidR="008219B5" w:rsidRPr="00B73E80" w:rsidRDefault="00162A61" w:rsidP="00271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14.00.08 –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</w:t>
            </w:r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комитетінің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шешімімен</w:t>
            </w:r>
            <w:proofErr w:type="spellEnd"/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(№9</w:t>
            </w: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протокол</w:t>
            </w: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7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3E80" w:rsidRPr="00B7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0000868</w:t>
            </w:r>
            <w:r w:rsidR="00B73E80" w:rsidRPr="00B7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19B5" w14:paraId="2E09DB26" w14:textId="77777777" w:rsidTr="00D94F35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D8532" w14:textId="56654C5E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3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B936C" w14:textId="49A0D1F9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38248" w14:textId="5886736C" w:rsidR="008219B5" w:rsidRDefault="00F768BF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8219B5" w14:paraId="7701D893" w14:textId="77777777" w:rsidTr="00763FAF">
        <w:trPr>
          <w:trHeight w:val="571"/>
        </w:trPr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91639" w14:textId="6899FF35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4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653F" w14:textId="1F926ADA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уақыты</w:t>
            </w:r>
            <w:proofErr w:type="spellEnd"/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9E6A4" w14:textId="64A7AA7F" w:rsidR="008219B5" w:rsidRDefault="00C03E41" w:rsidP="008219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көз аурулары ғылыми-зерттеу институтының құрметті профессоры, Алматы қ., Қазақстан Республикасы, 05.03.2018 ж.</w:t>
            </w:r>
          </w:p>
        </w:tc>
      </w:tr>
      <w:tr w:rsidR="008219B5" w14:paraId="0D42D316" w14:textId="77777777" w:rsidTr="00D94F35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E65AF" w14:textId="31C3D60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5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F9BCE" w14:textId="3DABB47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нөмірі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365BC" w14:textId="28C18404" w:rsidR="00CA3E40" w:rsidRPr="00F768BF" w:rsidRDefault="00162A61" w:rsidP="00162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С.Ж. Асфендияров </w:t>
            </w: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атындағы ҚазҰМУ офтальмология кафедрасының меңгерушісі, 2014 жылғы 24 қыркүйектегі № 4452</w:t>
            </w:r>
            <w:r w:rsidR="00271B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-л</w:t>
            </w: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бұйрығы.</w:t>
            </w:r>
          </w:p>
        </w:tc>
      </w:tr>
      <w:tr w:rsidR="008219B5" w:rsidRPr="00E830E9" w14:paraId="31B4B3FC" w14:textId="77777777" w:rsidTr="00D94F35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8BB26" w14:textId="23AC438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6</w:t>
            </w:r>
          </w:p>
        </w:tc>
        <w:tc>
          <w:tcPr>
            <w:tcW w:w="23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07791" w14:textId="1D94C2F5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ғылыми-педагогикалық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2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802EB" w14:textId="310722BE" w:rsidR="008219B5" w:rsidRPr="00B73E80" w:rsidRDefault="00271B08" w:rsidP="00162A61">
            <w:pPr>
              <w:pStyle w:val="a3"/>
              <w:spacing w:before="120" w:beforeAutospacing="0" w:after="12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B73E80">
              <w:rPr>
                <w:color w:val="000000"/>
                <w:lang w:val="kk-KZ"/>
              </w:rPr>
              <w:t>Мамандық бойынша жұмыс өтілі – 22 жыл 4 ай, педагогикалық өтілі – 14 жыл 4 ай, оның ішінде кафедра меңгерушісі – 14 жыл 4 ай.</w:t>
            </w:r>
          </w:p>
        </w:tc>
      </w:tr>
    </w:tbl>
    <w:p w14:paraId="12126E31" w14:textId="77777777" w:rsidR="00D135CE" w:rsidRPr="00B73E80" w:rsidRDefault="00D135CE" w:rsidP="008219B5">
      <w:pPr>
        <w:pStyle w:val="a3"/>
        <w:spacing w:before="120" w:beforeAutospacing="0" w:after="120" w:afterAutospacing="0"/>
        <w:jc w:val="center"/>
        <w:rPr>
          <w:spacing w:val="2"/>
          <w:lang w:val="kk-KZ"/>
        </w:rPr>
        <w:sectPr w:rsidR="00D135CE" w:rsidRPr="00B73E80">
          <w:headerReference w:type="default" r:id="rId8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5724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524"/>
        <w:gridCol w:w="5571"/>
      </w:tblGrid>
      <w:tr w:rsidR="008219B5" w14:paraId="7DAF0356" w14:textId="77777777" w:rsidTr="00D94F35">
        <w:trPr>
          <w:trHeight w:val="2351"/>
        </w:trPr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99060" w14:textId="20CEA69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7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4BE2A" w14:textId="50BCB1C8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</w:rPr>
              <w:t xml:space="preserve">Диссертация </w:t>
            </w:r>
            <w:proofErr w:type="spellStart"/>
            <w:r w:rsidRPr="008219B5">
              <w:rPr>
                <w:spacing w:val="2"/>
              </w:rPr>
              <w:t>қорғағаннан</w:t>
            </w:r>
            <w:proofErr w:type="spellEnd"/>
            <w:r w:rsidRPr="008219B5">
              <w:rPr>
                <w:spacing w:val="2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8219B5">
              <w:rPr>
                <w:spacing w:val="2"/>
              </w:rPr>
              <w:t xml:space="preserve"> профессор (доцент)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6D3CAC31" w:rsidR="008219B5" w:rsidRDefault="0046432E" w:rsidP="0020503B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Барлығы</w:t>
            </w:r>
            <w:proofErr w:type="spellEnd"/>
            <w:r>
              <w:rPr>
                <w:color w:val="000000"/>
              </w:rPr>
              <w:t xml:space="preserve"> - </w:t>
            </w:r>
            <w:r w:rsidR="00E830E9">
              <w:rPr>
                <w:color w:val="000000"/>
                <w:lang w:val="kk-KZ"/>
              </w:rPr>
              <w:t>60</w:t>
            </w:r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оның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ішінде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уәкілетті</w:t>
            </w:r>
            <w:proofErr w:type="spellEnd"/>
            <w:r>
              <w:rPr>
                <w:color w:val="000000"/>
              </w:rPr>
              <w:t xml:space="preserve"> орган </w:t>
            </w:r>
            <w:proofErr w:type="spellStart"/>
            <w:r>
              <w:rPr>
                <w:color w:val="000000"/>
              </w:rPr>
              <w:t>ұсынған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басылымдарда</w:t>
            </w:r>
            <w:proofErr w:type="spellEnd"/>
            <w:r>
              <w:rPr>
                <w:color w:val="000000"/>
              </w:rPr>
              <w:t xml:space="preserve"> </w:t>
            </w:r>
            <w:r w:rsidR="00162A61">
              <w:rPr>
                <w:color w:val="000000"/>
              </w:rPr>
              <w:t>–</w:t>
            </w:r>
            <w:r w:rsidR="00062555">
              <w:rPr>
                <w:color w:val="000000"/>
              </w:rPr>
              <w:t xml:space="preserve"> 1</w:t>
            </w:r>
            <w:r w:rsidR="00162A61">
              <w:rPr>
                <w:color w:val="000000"/>
              </w:rPr>
              <w:t>2</w:t>
            </w:r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Clarivate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Analytics</w:t>
            </w:r>
            <w:proofErr w:type="spellEnd"/>
            <w:r w:rsidR="00F768BF" w:rsidRPr="00F768BF">
              <w:rPr>
                <w:color w:val="000000"/>
              </w:rPr>
              <w:t xml:space="preserve"> (</w:t>
            </w:r>
            <w:proofErr w:type="spellStart"/>
            <w:r w:rsidR="00F768BF" w:rsidRPr="00F768BF">
              <w:rPr>
                <w:color w:val="000000"/>
              </w:rPr>
              <w:t>Clarivate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Analytics</w:t>
            </w:r>
            <w:proofErr w:type="spellEnd"/>
            <w:r w:rsidR="00F768BF" w:rsidRPr="00F768BF">
              <w:rPr>
                <w:color w:val="000000"/>
              </w:rPr>
              <w:t>) (</w:t>
            </w:r>
            <w:proofErr w:type="spellStart"/>
            <w:r w:rsidR="00F768BF" w:rsidRPr="00F768BF">
              <w:rPr>
                <w:color w:val="000000"/>
              </w:rPr>
              <w:t>Web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of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Science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Core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Collection</w:t>
            </w:r>
            <w:proofErr w:type="spellEnd"/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Clarivate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Analytics</w:t>
            </w:r>
            <w:proofErr w:type="spellEnd"/>
            <w:r w:rsidR="00F768BF" w:rsidRPr="00F768BF">
              <w:rPr>
                <w:color w:val="000000"/>
              </w:rPr>
              <w:t xml:space="preserve"> (</w:t>
            </w:r>
            <w:proofErr w:type="spellStart"/>
            <w:r w:rsidR="00F768BF" w:rsidRPr="00F768BF">
              <w:rPr>
                <w:color w:val="000000"/>
              </w:rPr>
              <w:t>Сайнс</w:t>
            </w:r>
            <w:proofErr w:type="spellEnd"/>
            <w:r w:rsidR="00F768BF" w:rsidRPr="00F768BF">
              <w:rPr>
                <w:color w:val="000000"/>
              </w:rPr>
              <w:t xml:space="preserve"> Кор </w:t>
            </w:r>
            <w:proofErr w:type="spellStart"/>
            <w:r w:rsidR="00F768BF" w:rsidRPr="00F768BF">
              <w:rPr>
                <w:color w:val="000000"/>
              </w:rPr>
              <w:t>collection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Web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of</w:t>
            </w:r>
            <w:proofErr w:type="spellEnd"/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Clarivate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Analytics</w:t>
            </w:r>
            <w:proofErr w:type="spellEnd"/>
            <w:r w:rsidR="00F768BF" w:rsidRPr="00F768BF">
              <w:rPr>
                <w:color w:val="000000"/>
              </w:rPr>
              <w:t xml:space="preserve">) </w:t>
            </w:r>
            <w:proofErr w:type="spellStart"/>
            <w:r w:rsidR="00F768BF" w:rsidRPr="00F768BF">
              <w:rPr>
                <w:color w:val="000000"/>
              </w:rPr>
              <w:t>базаларын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кіретін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ғылыми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журналдарда</w:t>
            </w:r>
            <w:proofErr w:type="spellEnd"/>
            <w:r>
              <w:rPr>
                <w:color w:val="000000"/>
              </w:rPr>
              <w:t>) -</w:t>
            </w:r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Scopus</w:t>
            </w:r>
            <w:proofErr w:type="spellEnd"/>
            <w:r w:rsidR="00F768BF" w:rsidRPr="00F768BF">
              <w:rPr>
                <w:color w:val="000000"/>
              </w:rPr>
              <w:t xml:space="preserve"> (</w:t>
            </w:r>
            <w:proofErr w:type="spellStart"/>
            <w:r w:rsidR="00F768BF" w:rsidRPr="00F768BF">
              <w:rPr>
                <w:color w:val="000000"/>
              </w:rPr>
              <w:t>Скопус</w:t>
            </w:r>
            <w:proofErr w:type="spellEnd"/>
            <w:r w:rsidR="00F768BF" w:rsidRPr="00F768BF">
              <w:rPr>
                <w:color w:val="000000"/>
              </w:rPr>
              <w:t xml:space="preserve">) </w:t>
            </w:r>
            <w:proofErr w:type="spellStart"/>
            <w:r w:rsidR="00F768BF" w:rsidRPr="00F768BF">
              <w:rPr>
                <w:color w:val="000000"/>
              </w:rPr>
              <w:t>немесе</w:t>
            </w:r>
            <w:proofErr w:type="spellEnd"/>
            <w:r w:rsidR="00F768BF" w:rsidRPr="00F768BF">
              <w:rPr>
                <w:color w:val="000000"/>
              </w:rPr>
              <w:t xml:space="preserve"> JSTOR (</w:t>
            </w:r>
            <w:proofErr w:type="spellStart"/>
            <w:r w:rsidR="00F768BF" w:rsidRPr="00F768BF">
              <w:rPr>
                <w:color w:val="000000"/>
              </w:rPr>
              <w:t>дже</w:t>
            </w:r>
            <w:r w:rsidR="0020503B">
              <w:rPr>
                <w:color w:val="000000"/>
              </w:rPr>
              <w:t>йстор</w:t>
            </w:r>
            <w:proofErr w:type="spellEnd"/>
            <w:r w:rsidR="0020503B">
              <w:rPr>
                <w:color w:val="000000"/>
              </w:rPr>
              <w:t xml:space="preserve">) </w:t>
            </w:r>
            <w:r w:rsidR="00162A61">
              <w:rPr>
                <w:color w:val="000000"/>
              </w:rPr>
              <w:t>– 2</w:t>
            </w:r>
            <w:r w:rsidR="00F768BF" w:rsidRPr="00F768BF">
              <w:rPr>
                <w:color w:val="000000"/>
              </w:rPr>
              <w:t xml:space="preserve">, </w:t>
            </w:r>
            <w:proofErr w:type="spellStart"/>
            <w:r w:rsidR="00F768BF" w:rsidRPr="00F768BF">
              <w:rPr>
                <w:color w:val="000000"/>
              </w:rPr>
              <w:t>шығармашылық</w:t>
            </w:r>
            <w:proofErr w:type="spellEnd"/>
            <w:r w:rsidR="00F768BF" w:rsidRPr="00F768BF">
              <w:rPr>
                <w:color w:val="000000"/>
              </w:rPr>
              <w:t xml:space="preserve"> </w:t>
            </w:r>
            <w:proofErr w:type="spellStart"/>
            <w:r w:rsidR="00F768BF" w:rsidRPr="00F768BF">
              <w:rPr>
                <w:color w:val="000000"/>
              </w:rPr>
              <w:t>ж</w:t>
            </w:r>
            <w:r>
              <w:rPr>
                <w:color w:val="000000"/>
              </w:rPr>
              <w:t>ұмыстар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авторлық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куәліктер</w:t>
            </w:r>
            <w:proofErr w:type="spellEnd"/>
            <w:r>
              <w:rPr>
                <w:color w:val="000000"/>
              </w:rPr>
              <w:t>) -</w:t>
            </w:r>
            <w:r w:rsidR="00F768BF" w:rsidRPr="00F768BF">
              <w:rPr>
                <w:color w:val="000000"/>
              </w:rPr>
              <w:t>.</w:t>
            </w:r>
          </w:p>
        </w:tc>
      </w:tr>
      <w:tr w:rsidR="008219B5" w:rsidRPr="00E830E9" w14:paraId="170FCA45" w14:textId="77777777" w:rsidTr="00D94F35"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002C3" w14:textId="177753C2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8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6CAE1" w14:textId="2144FF4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8219B5">
              <w:rPr>
                <w:spacing w:val="2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оқу-әдістемелік</w:t>
            </w:r>
            <w:proofErr w:type="spellEnd"/>
            <w:r w:rsidRPr="008219B5">
              <w:rPr>
                <w:spacing w:val="2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9EAB0" w14:textId="5B978C59" w:rsidR="00605047" w:rsidRPr="00E830E9" w:rsidRDefault="00162A61" w:rsidP="00E830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Монография «Хирургиялық араласудан кейінгі қалдық және индукциялық аметропияны түзетудегі эксимерлі лазерлік хирургия». С.Ж. Асфендиярова атындағы ҚазҰМУ Ұлттық акционерлік қоғамының Ғылыми кеңесінде басып шығаруға мақұлданған.  </w:t>
            </w:r>
            <w:r w:rsidR="00605047"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ҚазҰМУ-нің Ғылыми кеңесінде бекітілді: № 7 хаттама/27.02.2025 жыл</w:t>
            </w:r>
            <w:r w:rsidR="00E830E9"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914A0"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ISBN 978-601-13-0400-9</w:t>
            </w:r>
            <w:r w:rsidR="00E830E9"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C43EDD5" w14:textId="48D00167" w:rsidR="00E830E9" w:rsidRPr="00E830E9" w:rsidRDefault="00E830E9" w:rsidP="00E830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0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ұсыныс – Жұмсақ контактілі линзаларды таңдау алгоритмі. Лещенко И.А., Сүлейменов М.С., Утелбаева З.Т., Бердишева А.А. Алматы 2024 С.Д.Асфендиярова атындағы ҚазҰМУ ҰҒО Ғылыми кеңесінде басып шығаруға мақұлданды ҚазҰМУ Ғылыми кеңесінің 27.02.2025 жылғы No 7 хаттамасы ISBN 978-601-13-0400-9.</w:t>
            </w:r>
          </w:p>
          <w:p w14:paraId="1E7203FD" w14:textId="5703C002" w:rsidR="00E830E9" w:rsidRPr="00162A61" w:rsidRDefault="00E830E9" w:rsidP="00605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19B5" w14:paraId="124CF957" w14:textId="77777777" w:rsidTr="00D94F35">
        <w:trPr>
          <w:trHeight w:val="3309"/>
        </w:trPr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F65DF" w14:textId="3B1BAD08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9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40DAD" w14:textId="6D353C70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басшылығымен</w:t>
            </w:r>
            <w:proofErr w:type="spellEnd"/>
            <w:r w:rsidRPr="008219B5">
              <w:rPr>
                <w:spacing w:val="2"/>
              </w:rPr>
              <w:t xml:space="preserve"> диссертация </w:t>
            </w:r>
            <w:proofErr w:type="spellStart"/>
            <w:r w:rsidRPr="008219B5">
              <w:rPr>
                <w:spacing w:val="2"/>
              </w:rPr>
              <w:t>қорғаған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кандидаты, 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,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доктор)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академиялық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бар </w:t>
            </w:r>
            <w:proofErr w:type="spellStart"/>
            <w:r w:rsidRPr="008219B5">
              <w:rPr>
                <w:spacing w:val="2"/>
              </w:rPr>
              <w:t>тұлғалар</w:t>
            </w:r>
            <w:proofErr w:type="spellEnd"/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6A1C06DD" w:rsidR="008219B5" w:rsidRDefault="008219B5" w:rsidP="005D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9B5" w:rsidRPr="00E830E9" w14:paraId="401A6BD6" w14:textId="77777777" w:rsidTr="00D94F35"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64304" w14:textId="3039070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10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5C413" w14:textId="439903C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BD25D1" w14:textId="68A18EBC" w:rsidR="00162A61" w:rsidRPr="00162A61" w:rsidRDefault="00162A61" w:rsidP="00162A61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«Офтальмологиядағы заманауи технологиялар» 2024 халықаралық ғылыми-тәжірибелік конференциясында ІІ дәрежелі диплом «Офтальмология, оның ішінде педиатрия» мамандығы бойынша 2 курс резидент Нұрбек А. (Алматы, 2024 ж.) </w:t>
            </w:r>
          </w:p>
          <w:p w14:paraId="2C7FDBA7" w14:textId="0260A982" w:rsidR="008219B5" w:rsidRPr="00F768BF" w:rsidRDefault="00162A61" w:rsidP="00162A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жетекшісі: Сүлейменов М.С.</w:t>
            </w:r>
          </w:p>
        </w:tc>
      </w:tr>
      <w:tr w:rsidR="008219B5" w14:paraId="353D6CC0" w14:textId="77777777" w:rsidTr="00D94F35"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7C63C" w14:textId="4009022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11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CCF4D" w14:textId="017FBA1D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Дүниежүзілік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8219B5">
              <w:rPr>
                <w:spacing w:val="2"/>
              </w:rPr>
              <w:t xml:space="preserve">, Азия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Азия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Олимпиада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  <w:r w:rsidRPr="008219B5">
              <w:rPr>
                <w:spacing w:val="2"/>
              </w:rPr>
              <w:t xml:space="preserve"> </w:t>
            </w:r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8219B5" w:rsidRDefault="008219B5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9B5" w:rsidRPr="00162A61" w14:paraId="53B89BEF" w14:textId="77777777" w:rsidTr="00D94F35">
        <w:tc>
          <w:tcPr>
            <w:tcW w:w="2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D9F2" w14:textId="35F55E09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12</w:t>
            </w:r>
          </w:p>
        </w:tc>
        <w:tc>
          <w:tcPr>
            <w:tcW w:w="18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2C45F" w14:textId="2CC9378F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2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2DCF2A" w14:textId="4E8B2F04" w:rsidR="00162A61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халқы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Lions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Bank-тің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қолдауымен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ҚазҰМУ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жетекшісі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Тампа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Флорида, АҚШ, 2023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мамырынан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Қазақстанда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донорлық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қасаң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қабықты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трансплантациялау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0B05F6" w14:textId="062CEC6B" w:rsidR="00383CD8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«Офтальмология,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аттестаттау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комиссиясының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мүшесі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табылады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67701" w14:textId="1980640A" w:rsidR="00162A61" w:rsidRPr="00383CD8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«Хирургия»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мүшесі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(2019, 2020, 2021, 2022, 2023,2024,2025);</w:t>
            </w:r>
          </w:p>
          <w:p w14:paraId="4F2FED17" w14:textId="77777777" w:rsidR="00162A61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үздігі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белгісі</w:t>
            </w:r>
            <w:proofErr w:type="spellEnd"/>
          </w:p>
          <w:p w14:paraId="7CA763FE" w14:textId="77777777" w:rsidR="00162A61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тәуелсіздігіне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мерейтойлық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медалі</w:t>
            </w:r>
            <w:proofErr w:type="spellEnd"/>
          </w:p>
          <w:p w14:paraId="3CB402E8" w14:textId="77777777" w:rsidR="00162A61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алғысы</w:t>
            </w:r>
            <w:proofErr w:type="spellEnd"/>
          </w:p>
          <w:p w14:paraId="60E04D07" w14:textId="77777777" w:rsidR="00162A61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Алматы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басқармасының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грамотасы</w:t>
            </w:r>
            <w:proofErr w:type="spellEnd"/>
          </w:p>
          <w:p w14:paraId="59B6C536" w14:textId="17F80214" w:rsidR="008219B5" w:rsidRPr="00162A61" w:rsidRDefault="00162A61" w:rsidP="00162A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«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ХДП Алматы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Астана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саяси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кеңесінің</w:t>
            </w:r>
            <w:proofErr w:type="spellEnd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алғысы</w:t>
            </w:r>
            <w:proofErr w:type="spellEnd"/>
          </w:p>
        </w:tc>
      </w:tr>
    </w:tbl>
    <w:p w14:paraId="01E55EBD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6478F7A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A1035E3" w14:textId="17DFC883" w:rsidR="00754A13" w:rsidRDefault="00162A61" w:rsidP="00197CBD">
      <w:pPr>
        <w:spacing w:after="0" w:line="240" w:lineRule="auto"/>
        <w:ind w:right="-10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62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Жалпы меди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цина мектебінің деканы, м.ғ.д.                                       Г.А. Шопаева</w:t>
      </w:r>
    </w:p>
    <w:p w14:paraId="2A176816" w14:textId="2A9FA683" w:rsidR="008219B5" w:rsidRDefault="008219B5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</w:t>
      </w:r>
    </w:p>
    <w:p w14:paraId="1AF9CCF1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BDA1132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D520C19" w14:textId="7480D57D" w:rsidR="00004423" w:rsidRPr="008219B5" w:rsidRDefault="008219B5" w:rsidP="00197CBD">
      <w:pPr>
        <w:spacing w:after="0" w:line="240" w:lineRule="auto"/>
        <w:ind w:right="-105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П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ерсоналды есепке алу басқармасының басшысы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 w:rsidR="00754A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C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4A12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197C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D6120">
        <w:rPr>
          <w:rFonts w:ascii="Times New Roman" w:hAnsi="Times New Roman" w:cs="Times New Roman"/>
          <w:b/>
          <w:bCs/>
          <w:sz w:val="24"/>
          <w:szCs w:val="24"/>
        </w:rPr>
        <w:t>М.М.</w:t>
      </w:r>
      <w:r w:rsidR="005D61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04423" w:rsidRPr="008219B5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7535" w14:textId="77777777" w:rsidR="00194387" w:rsidRDefault="00194387">
      <w:pPr>
        <w:spacing w:line="240" w:lineRule="auto"/>
      </w:pPr>
      <w:r>
        <w:separator/>
      </w:r>
    </w:p>
  </w:endnote>
  <w:endnote w:type="continuationSeparator" w:id="0">
    <w:p w14:paraId="5A11350F" w14:textId="77777777" w:rsidR="00194387" w:rsidRDefault="0019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11F7" w14:textId="77777777" w:rsidR="00194387" w:rsidRDefault="00194387">
      <w:pPr>
        <w:spacing w:after="0"/>
      </w:pPr>
      <w:r>
        <w:separator/>
      </w:r>
    </w:p>
  </w:footnote>
  <w:footnote w:type="continuationSeparator" w:id="0">
    <w:p w14:paraId="2296DEA8" w14:textId="77777777" w:rsidR="00194387" w:rsidRDefault="001943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498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372"/>
    </w:tblGrid>
    <w:tr w:rsidR="00763FAF" w14:paraId="24E27476" w14:textId="77777777" w:rsidTr="00C81094">
      <w:tc>
        <w:tcPr>
          <w:tcW w:w="1134" w:type="dxa"/>
          <w:vMerge w:val="restart"/>
        </w:tcPr>
        <w:p w14:paraId="3863D534" w14:textId="77777777" w:rsidR="00763FAF" w:rsidRPr="00082BDA" w:rsidRDefault="00763FAF" w:rsidP="00763FAF">
          <w:pPr>
            <w:pStyle w:val="a6"/>
            <w:rPr>
              <w:sz w:val="6"/>
            </w:rPr>
          </w:pPr>
        </w:p>
        <w:p w14:paraId="68F6F7B7" w14:textId="77777777" w:rsidR="00763FAF" w:rsidRPr="00082BDA" w:rsidRDefault="00763FAF" w:rsidP="00763FAF"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3549D025" wp14:editId="6BC2E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</w:tcPr>
        <w:p w14:paraId="658A20CA" w14:textId="77777777" w:rsidR="00763FAF" w:rsidRPr="00EA3CA5" w:rsidRDefault="00763FAF" w:rsidP="00763FAF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7F18C224" w14:textId="77777777" w:rsidR="00763FAF" w:rsidRPr="009D3AF3" w:rsidRDefault="00763FAF" w:rsidP="00763FAF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14:paraId="73DCDA55" w14:textId="77777777" w:rsidR="00763FAF" w:rsidRPr="009D3AF3" w:rsidRDefault="00763FAF" w:rsidP="00763FAF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7AB0E76F" w14:textId="77777777" w:rsidR="00763FAF" w:rsidRPr="00313202" w:rsidRDefault="00763FAF" w:rsidP="00763FAF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>
            <w:rPr>
              <w:rFonts w:ascii="Tahoma" w:hAnsi="Tahoma" w:cs="Tahoma"/>
              <w:b/>
              <w:sz w:val="17"/>
              <w:szCs w:val="17"/>
            </w:rPr>
            <w:t>«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6FAB9790" w14:textId="77777777" w:rsidR="00763FAF" w:rsidRPr="00EA3CA5" w:rsidRDefault="00763FAF" w:rsidP="00763FAF">
          <w:pPr>
            <w:pStyle w:val="a6"/>
            <w:rPr>
              <w:rFonts w:ascii="Tahoma" w:hAnsi="Tahoma" w:cs="Tahoma"/>
              <w:sz w:val="8"/>
            </w:rPr>
          </w:pPr>
        </w:p>
      </w:tc>
    </w:tr>
    <w:tr w:rsidR="00763FAF" w14:paraId="7C0C644F" w14:textId="77777777" w:rsidTr="00C81094">
      <w:trPr>
        <w:trHeight w:val="264"/>
      </w:trPr>
      <w:tc>
        <w:tcPr>
          <w:tcW w:w="1134" w:type="dxa"/>
          <w:vMerge/>
        </w:tcPr>
        <w:p w14:paraId="1E9AA42B" w14:textId="77777777" w:rsidR="00763FAF" w:rsidRDefault="00763FAF" w:rsidP="00763FAF">
          <w:pPr>
            <w:pStyle w:val="a6"/>
          </w:pPr>
        </w:p>
      </w:tc>
      <w:tc>
        <w:tcPr>
          <w:tcW w:w="3590" w:type="dxa"/>
          <w:vMerge w:val="restart"/>
        </w:tcPr>
        <w:p w14:paraId="2D98BC2C" w14:textId="77777777" w:rsidR="00763FAF" w:rsidRPr="009010DD" w:rsidRDefault="00763FAF" w:rsidP="00763FAF">
          <w:pPr>
            <w:pStyle w:val="a6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5777A073" w14:textId="536A0D92" w:rsidR="00763FAF" w:rsidRPr="00763FAF" w:rsidRDefault="00763FAF" w:rsidP="00763FAF">
          <w:pPr>
            <w:pStyle w:val="a6"/>
            <w:jc w:val="center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Кадр бөлімі</w:t>
          </w:r>
        </w:p>
      </w:tc>
      <w:tc>
        <w:tcPr>
          <w:tcW w:w="3402" w:type="dxa"/>
          <w:vMerge w:val="restart"/>
        </w:tcPr>
        <w:p w14:paraId="23534C06" w14:textId="77777777" w:rsidR="00763FAF" w:rsidRPr="009010DD" w:rsidRDefault="00763FAF" w:rsidP="00763FAF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4D983967" w14:textId="44398BEF" w:rsidR="00763FAF" w:rsidRPr="009010DD" w:rsidRDefault="00763FAF" w:rsidP="00763FAF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1-Қосымша</w:t>
          </w:r>
        </w:p>
      </w:tc>
      <w:tc>
        <w:tcPr>
          <w:tcW w:w="1372" w:type="dxa"/>
        </w:tcPr>
        <w:p w14:paraId="63DEF93C" w14:textId="77777777" w:rsidR="00763FAF" w:rsidRPr="00D34F29" w:rsidRDefault="00763FAF" w:rsidP="00763FAF">
          <w:pPr>
            <w:pStyle w:val="a6"/>
            <w:jc w:val="center"/>
            <w:rPr>
              <w:rFonts w:ascii="Times New Roman" w:hAnsi="Times New Roman" w:cs="Times New Roman"/>
              <w:color w:val="7030A0"/>
              <w:lang w:val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сы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>1</w:t>
          </w:r>
        </w:p>
      </w:tc>
    </w:tr>
    <w:tr w:rsidR="00763FAF" w14:paraId="1F164B0C" w14:textId="77777777" w:rsidTr="00C81094">
      <w:trPr>
        <w:trHeight w:val="205"/>
      </w:trPr>
      <w:tc>
        <w:tcPr>
          <w:tcW w:w="1134" w:type="dxa"/>
          <w:vMerge/>
        </w:tcPr>
        <w:p w14:paraId="02713206" w14:textId="77777777" w:rsidR="00763FAF" w:rsidRDefault="00763FAF" w:rsidP="00763FAF">
          <w:pPr>
            <w:pStyle w:val="a6"/>
          </w:pPr>
        </w:p>
      </w:tc>
      <w:tc>
        <w:tcPr>
          <w:tcW w:w="3590" w:type="dxa"/>
          <w:vMerge/>
        </w:tcPr>
        <w:p w14:paraId="4B98C574" w14:textId="77777777" w:rsidR="00763FAF" w:rsidRPr="00EA3CA5" w:rsidRDefault="00763FAF" w:rsidP="00763FAF">
          <w:pPr>
            <w:pStyle w:val="a6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14:paraId="3EDBD29A" w14:textId="77777777" w:rsidR="00763FAF" w:rsidRPr="00EA3CA5" w:rsidRDefault="00763FAF" w:rsidP="00763FAF">
          <w:pPr>
            <w:pStyle w:val="a6"/>
            <w:rPr>
              <w:rFonts w:ascii="Tahoma" w:hAnsi="Tahoma" w:cs="Tahoma"/>
            </w:rPr>
          </w:pPr>
        </w:p>
      </w:tc>
      <w:tc>
        <w:tcPr>
          <w:tcW w:w="1372" w:type="dxa"/>
        </w:tcPr>
        <w:p w14:paraId="122B3829" w14:textId="132AABC9" w:rsidR="00763FAF" w:rsidRPr="004C3FDD" w:rsidRDefault="00763FAF" w:rsidP="00763FAF">
          <w:pPr>
            <w:pStyle w:val="a6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E830E9" w:rsidRPr="00E830E9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4</w:t>
          </w:r>
          <w:r w:rsidRPr="004C3FDD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kk-KZ"/>
            </w:rPr>
            <w:t xml:space="preserve"> бетттің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E830E9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беті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</w:p>
      </w:tc>
    </w:tr>
  </w:tbl>
  <w:p w14:paraId="2CB4B2DD" w14:textId="2B3E82E1" w:rsidR="00686C89" w:rsidRPr="00530419" w:rsidRDefault="00686C89" w:rsidP="005304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546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6"/>
      <w:gridCol w:w="2974"/>
      <w:gridCol w:w="2815"/>
      <w:gridCol w:w="2117"/>
    </w:tblGrid>
    <w:tr w:rsidR="00D135CE" w:rsidRPr="00D678C9" w14:paraId="0B2CECED" w14:textId="77777777" w:rsidTr="00D678C9">
      <w:tc>
        <w:tcPr>
          <w:tcW w:w="615" w:type="pct"/>
          <w:vMerge w:val="restart"/>
        </w:tcPr>
        <w:p w14:paraId="708866F0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3BE1F368" w14:textId="77777777" w:rsidR="00D135CE" w:rsidRPr="00D678C9" w:rsidRDefault="00D135CE" w:rsidP="00D678C9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19BB6B55" wp14:editId="4611544D">
                <wp:extent cx="582930" cy="701040"/>
                <wp:effectExtent l="0" t="0" r="7620" b="3810"/>
                <wp:docPr id="419256309" name="Рисунок 419256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6643BE1C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4FE13680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 xml:space="preserve">«С.Ж. </w:t>
          </w: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АСФЕНДИЯРОВ АТЫНДАҒЫ ҚАЗАҚ ҰЛТТЫҚ МЕДИЦИНА УНИВЕРСИТЕТІ» КЕАҚ</w:t>
          </w:r>
        </w:p>
        <w:p w14:paraId="0DF4AFC9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7F0858FB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7E4A8067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D135CE" w:rsidRPr="00D678C9" w14:paraId="4CC1FBB2" w14:textId="77777777" w:rsidTr="00D678C9">
      <w:trPr>
        <w:trHeight w:val="264"/>
      </w:trPr>
      <w:tc>
        <w:tcPr>
          <w:tcW w:w="615" w:type="pct"/>
          <w:vMerge/>
        </w:tcPr>
        <w:p w14:paraId="5589FD2A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 w:val="restart"/>
        </w:tcPr>
        <w:p w14:paraId="29C20F86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14DA444D" w14:textId="64040CF1" w:rsidR="00D135CE" w:rsidRPr="00D678C9" w:rsidRDefault="005125FD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>Кадр бөлімі</w:t>
          </w:r>
          <w:r w:rsidR="00D135CE"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 </w:t>
          </w:r>
        </w:p>
      </w:tc>
      <w:tc>
        <w:tcPr>
          <w:tcW w:w="1561" w:type="pct"/>
          <w:vMerge w:val="restart"/>
        </w:tcPr>
        <w:p w14:paraId="147AEF6E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4B3FFDF1" w14:textId="2A7D8125" w:rsidR="00D135CE" w:rsidRPr="00D678C9" w:rsidRDefault="005125FD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70FDDC1E" w14:textId="3146BF63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55F2555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D135CE" w:rsidRPr="00D678C9" w14:paraId="3EEB33E6" w14:textId="77777777" w:rsidTr="00D678C9">
      <w:trPr>
        <w:trHeight w:val="205"/>
      </w:trPr>
      <w:tc>
        <w:tcPr>
          <w:tcW w:w="615" w:type="pct"/>
          <w:vMerge/>
        </w:tcPr>
        <w:p w14:paraId="48E1C1DE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/>
        </w:tcPr>
        <w:p w14:paraId="17D73233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561" w:type="pct"/>
          <w:vMerge/>
        </w:tcPr>
        <w:p w14:paraId="35AD8C1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175" w:type="pct"/>
        </w:tcPr>
        <w:p w14:paraId="5DE54093" w14:textId="15FAE788" w:rsidR="00D135CE" w:rsidRPr="00D678C9" w:rsidRDefault="00D135CE" w:rsidP="00C8109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4 беттің  </w:t>
          </w:r>
          <w:r w:rsidR="00C81094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2</w:t>
          </w:r>
          <w:r w:rsidR="00F062E1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беті</w:t>
          </w:r>
        </w:p>
      </w:tc>
    </w:tr>
  </w:tbl>
  <w:p w14:paraId="6032D8FE" w14:textId="77777777" w:rsidR="00D135CE" w:rsidRDefault="00D135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F04"/>
    <w:multiLevelType w:val="hybridMultilevel"/>
    <w:tmpl w:val="1E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7793"/>
    <w:multiLevelType w:val="hybridMultilevel"/>
    <w:tmpl w:val="BFDE345C"/>
    <w:lvl w:ilvl="0" w:tplc="272AD9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740B5"/>
    <w:multiLevelType w:val="hybridMultilevel"/>
    <w:tmpl w:val="766A614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23"/>
    <w:rsid w:val="00004423"/>
    <w:rsid w:val="00007083"/>
    <w:rsid w:val="0002547B"/>
    <w:rsid w:val="00037D15"/>
    <w:rsid w:val="0004305C"/>
    <w:rsid w:val="0005571E"/>
    <w:rsid w:val="00062555"/>
    <w:rsid w:val="000A16E3"/>
    <w:rsid w:val="000E6BD3"/>
    <w:rsid w:val="00162A61"/>
    <w:rsid w:val="00194387"/>
    <w:rsid w:val="00197CBD"/>
    <w:rsid w:val="001D3733"/>
    <w:rsid w:val="001F5B4C"/>
    <w:rsid w:val="001F7028"/>
    <w:rsid w:val="002049A8"/>
    <w:rsid w:val="0020503B"/>
    <w:rsid w:val="00225365"/>
    <w:rsid w:val="00271B08"/>
    <w:rsid w:val="00286E61"/>
    <w:rsid w:val="002E285B"/>
    <w:rsid w:val="002E7677"/>
    <w:rsid w:val="00326B1E"/>
    <w:rsid w:val="00350289"/>
    <w:rsid w:val="00350843"/>
    <w:rsid w:val="003614A0"/>
    <w:rsid w:val="00383CD8"/>
    <w:rsid w:val="00393414"/>
    <w:rsid w:val="003958DF"/>
    <w:rsid w:val="003A0423"/>
    <w:rsid w:val="003A722A"/>
    <w:rsid w:val="003C550C"/>
    <w:rsid w:val="003D41A6"/>
    <w:rsid w:val="003F38E0"/>
    <w:rsid w:val="003F78AD"/>
    <w:rsid w:val="0046432E"/>
    <w:rsid w:val="00485ECB"/>
    <w:rsid w:val="00491E76"/>
    <w:rsid w:val="004A12DA"/>
    <w:rsid w:val="004A7AAC"/>
    <w:rsid w:val="004F727B"/>
    <w:rsid w:val="00506061"/>
    <w:rsid w:val="00506524"/>
    <w:rsid w:val="005125FD"/>
    <w:rsid w:val="00530419"/>
    <w:rsid w:val="00557293"/>
    <w:rsid w:val="005863A9"/>
    <w:rsid w:val="005D6120"/>
    <w:rsid w:val="005E7ADA"/>
    <w:rsid w:val="00601FEA"/>
    <w:rsid w:val="00605047"/>
    <w:rsid w:val="006551D2"/>
    <w:rsid w:val="00674586"/>
    <w:rsid w:val="006843A2"/>
    <w:rsid w:val="00686C89"/>
    <w:rsid w:val="006953B9"/>
    <w:rsid w:val="006D5B6C"/>
    <w:rsid w:val="006D7D13"/>
    <w:rsid w:val="007302BC"/>
    <w:rsid w:val="00754A13"/>
    <w:rsid w:val="00763FAF"/>
    <w:rsid w:val="007871FD"/>
    <w:rsid w:val="00787A35"/>
    <w:rsid w:val="007F1DB4"/>
    <w:rsid w:val="00803FA8"/>
    <w:rsid w:val="00816B23"/>
    <w:rsid w:val="008219B5"/>
    <w:rsid w:val="008340AC"/>
    <w:rsid w:val="008436FC"/>
    <w:rsid w:val="008914A0"/>
    <w:rsid w:val="008F43AB"/>
    <w:rsid w:val="00923261"/>
    <w:rsid w:val="0093459C"/>
    <w:rsid w:val="009D6927"/>
    <w:rsid w:val="009F6438"/>
    <w:rsid w:val="00A01301"/>
    <w:rsid w:val="00A02811"/>
    <w:rsid w:val="00A05E8B"/>
    <w:rsid w:val="00A66C9B"/>
    <w:rsid w:val="00A75311"/>
    <w:rsid w:val="00AF2588"/>
    <w:rsid w:val="00AF4791"/>
    <w:rsid w:val="00B14808"/>
    <w:rsid w:val="00B73E80"/>
    <w:rsid w:val="00BB2B45"/>
    <w:rsid w:val="00BC38B6"/>
    <w:rsid w:val="00BC6AAD"/>
    <w:rsid w:val="00C02E83"/>
    <w:rsid w:val="00C03E41"/>
    <w:rsid w:val="00C22FBA"/>
    <w:rsid w:val="00C81094"/>
    <w:rsid w:val="00CA3E40"/>
    <w:rsid w:val="00D135CE"/>
    <w:rsid w:val="00D23AA8"/>
    <w:rsid w:val="00D678C9"/>
    <w:rsid w:val="00D9456F"/>
    <w:rsid w:val="00D94F35"/>
    <w:rsid w:val="00DC474D"/>
    <w:rsid w:val="00E13DC8"/>
    <w:rsid w:val="00E36857"/>
    <w:rsid w:val="00E37FD7"/>
    <w:rsid w:val="00E553E9"/>
    <w:rsid w:val="00E830E9"/>
    <w:rsid w:val="00EB485E"/>
    <w:rsid w:val="00ED39B3"/>
    <w:rsid w:val="00ED48EB"/>
    <w:rsid w:val="00EE04BD"/>
    <w:rsid w:val="00F062E1"/>
    <w:rsid w:val="00F768BF"/>
    <w:rsid w:val="00FD7A07"/>
    <w:rsid w:val="00FE6546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unhideWhenUsed/>
    <w:qFormat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qFormat/>
    <w:rsid w:val="00A66C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qFormat/>
    <w:rsid w:val="00D678C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383C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rsid w:val="0058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863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22D4-AB41-4957-9BCC-CBE0333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44</cp:revision>
  <cp:lastPrinted>2025-05-13T09:36:00Z</cp:lastPrinted>
  <dcterms:created xsi:type="dcterms:W3CDTF">2025-03-05T13:40:00Z</dcterms:created>
  <dcterms:modified xsi:type="dcterms:W3CDTF">2025-05-13T09:44:00Z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