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2868" w14:textId="663001E7" w:rsidR="007522F3" w:rsidRDefault="007522F3" w:rsidP="007522F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Ғылыми атақтарды беру </w:t>
      </w:r>
    </w:p>
    <w:p w14:paraId="79EDF3DF" w14:textId="77777777" w:rsidR="007522F3" w:rsidRDefault="007522F3" w:rsidP="007522F3">
      <w:pPr>
        <w:jc w:val="right"/>
        <w:rPr>
          <w:lang w:eastAsia="ru-RU"/>
        </w:rPr>
      </w:pPr>
      <w:r>
        <w:rPr>
          <w:lang w:eastAsia="ru-RU"/>
        </w:rPr>
        <w:t xml:space="preserve">ережесіне 2-қосымша </w:t>
      </w:r>
    </w:p>
    <w:p w14:paraId="38B1A6E7" w14:textId="77777777" w:rsidR="007522F3" w:rsidRDefault="007522F3" w:rsidP="007522F3">
      <w:pPr>
        <w:jc w:val="right"/>
        <w:rPr>
          <w:lang w:eastAsia="ru-RU"/>
        </w:rPr>
      </w:pPr>
      <w:r>
        <w:rPr>
          <w:lang w:eastAsia="ru-RU"/>
        </w:rPr>
        <w:t>(</w:t>
      </w:r>
      <w:r>
        <w:rPr>
          <w:lang w:val="kk-KZ" w:eastAsia="ru-RU"/>
        </w:rPr>
        <w:t xml:space="preserve">қоғамдастырылған профессор </w:t>
      </w:r>
    </w:p>
    <w:p w14:paraId="086C9F92" w14:textId="134C67D9" w:rsidR="007522F3" w:rsidRPr="007522F3" w:rsidRDefault="007522F3" w:rsidP="007522F3">
      <w:pPr>
        <w:jc w:val="right"/>
        <w:rPr>
          <w:lang w:eastAsia="ru-RU"/>
        </w:rPr>
      </w:pPr>
      <w:r>
        <w:rPr>
          <w:lang w:eastAsia="ru-RU"/>
        </w:rPr>
        <w:t>(доцент), профессор)</w:t>
      </w:r>
    </w:p>
    <w:p w14:paraId="099BE5E3" w14:textId="57B9F081" w:rsidR="007522F3" w:rsidRPr="007522F3" w:rsidRDefault="007522F3" w:rsidP="007522F3">
      <w:pPr>
        <w:shd w:val="clear" w:color="auto" w:fill="FFFFFF"/>
        <w:jc w:val="center"/>
        <w:rPr>
          <w:b/>
          <w:bCs/>
          <w:lang w:eastAsia="ru-RU"/>
        </w:rPr>
      </w:pPr>
      <w:r>
        <w:rPr>
          <w:b/>
          <w:lang w:eastAsia="ru-RU"/>
        </w:rPr>
        <w:t>Халықаралық рецензияланған журналдардағы жарияланымдар тізімі</w:t>
      </w:r>
      <w:r>
        <w:rPr>
          <w:b/>
          <w:bCs/>
          <w:lang w:eastAsia="ru-RU"/>
        </w:rPr>
        <w:br/>
      </w:r>
    </w:p>
    <w:p w14:paraId="3CCEDF0D" w14:textId="77777777" w:rsidR="007522F3" w:rsidRDefault="007522F3" w:rsidP="007522F3">
      <w:pPr>
        <w:rPr>
          <w:bCs/>
          <w:spacing w:val="2"/>
          <w:lang w:val="kk-KZ" w:eastAsia="ru-RU"/>
        </w:rPr>
      </w:pPr>
      <w:r>
        <w:rPr>
          <w:b/>
          <w:bCs/>
          <w:spacing w:val="2"/>
          <w:lang w:val="kk-KZ" w:eastAsia="ru-RU"/>
        </w:rPr>
        <w:t xml:space="preserve">Өтініш берушінің тегі: </w:t>
      </w:r>
      <w:r>
        <w:rPr>
          <w:bCs/>
          <w:spacing w:val="2"/>
          <w:lang w:val="kk-KZ" w:eastAsia="ru-RU"/>
        </w:rPr>
        <w:t>Жанкалова Зульфия Мейірхановна</w:t>
      </w:r>
    </w:p>
    <w:p w14:paraId="674FC84B" w14:textId="77777777" w:rsidR="007522F3" w:rsidRDefault="007522F3" w:rsidP="007522F3">
      <w:pPr>
        <w:rPr>
          <w:lang w:val="kk-KZ"/>
        </w:rPr>
      </w:pPr>
      <w:r>
        <w:rPr>
          <w:lang w:val="kk-KZ"/>
        </w:rPr>
        <w:t xml:space="preserve">Автордың идентификаторлары: </w:t>
      </w:r>
    </w:p>
    <w:p w14:paraId="7AC3C587" w14:textId="77777777" w:rsidR="007522F3" w:rsidRDefault="007522F3" w:rsidP="007522F3">
      <w:pPr>
        <w:rPr>
          <w:lang w:val="kk-KZ"/>
        </w:rPr>
      </w:pPr>
      <w:bookmarkStart w:id="0" w:name="_Hlk200006493"/>
      <w:r>
        <w:rPr>
          <w:lang w:val="kk-KZ"/>
        </w:rPr>
        <w:t>Scopus Author ID: 57192097200</w:t>
      </w:r>
    </w:p>
    <w:p w14:paraId="437DB58B" w14:textId="77777777" w:rsidR="007522F3" w:rsidRDefault="007522F3" w:rsidP="007522F3">
      <w:pPr>
        <w:rPr>
          <w:highlight w:val="yellow"/>
          <w:lang w:val="en-US"/>
        </w:rPr>
      </w:pPr>
      <w:r>
        <w:rPr>
          <w:lang w:val="en-US"/>
        </w:rPr>
        <w:t>Web of Science Researcher ID: GLD-7599-2022</w:t>
      </w:r>
    </w:p>
    <w:bookmarkEnd w:id="0"/>
    <w:p w14:paraId="53CD8364" w14:textId="7538A148" w:rsidR="007522F3" w:rsidRPr="007522F3" w:rsidRDefault="007522F3" w:rsidP="007522F3">
      <w:r>
        <w:rPr>
          <w:lang w:val="en-US"/>
        </w:rPr>
        <w:t xml:space="preserve">ORCID https://orcid.org/0000-0002-5122-4130 </w:t>
      </w:r>
    </w:p>
    <w:tbl>
      <w:tblPr>
        <w:tblpPr w:leftFromText="180" w:rightFromText="180" w:bottomFromText="200" w:vertAnchor="text" w:horzAnchor="margin" w:tblpX="-147" w:tblpY="102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6"/>
        <w:gridCol w:w="677"/>
        <w:gridCol w:w="2151"/>
        <w:gridCol w:w="2127"/>
        <w:gridCol w:w="2126"/>
        <w:gridCol w:w="1984"/>
        <w:gridCol w:w="1985"/>
        <w:gridCol w:w="1564"/>
      </w:tblGrid>
      <w:tr w:rsidR="007522F3" w14:paraId="7A0C80E0" w14:textId="77777777" w:rsidTr="007522F3">
        <w:trPr>
          <w:trHeight w:val="1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7E54" w14:textId="77777777" w:rsidR="007522F3" w:rsidRDefault="007522F3" w:rsidP="007522F3">
            <w:pPr>
              <w:spacing w:line="256" w:lineRule="auto"/>
              <w:jc w:val="both"/>
            </w:pPr>
            <w:r>
              <w:t>№</w:t>
            </w:r>
          </w:p>
          <w:p w14:paraId="5B991EAD" w14:textId="77777777" w:rsidR="007522F3" w:rsidRDefault="007522F3" w:rsidP="007522F3">
            <w:pPr>
              <w:spacing w:line="256" w:lineRule="auto"/>
              <w:jc w:val="both"/>
            </w:pPr>
            <w: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BB9A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eastAsia="ru-RU"/>
              </w:rPr>
            </w:pPr>
            <w:r>
              <w:rPr>
                <w:color w:val="000000"/>
                <w:spacing w:val="2"/>
                <w:sz w:val="21"/>
                <w:szCs w:val="21"/>
                <w:lang w:val="kk-KZ" w:eastAsia="ru-RU"/>
              </w:rPr>
              <w:t>Басылымның атауы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3E0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val="kk-KZ"/>
              </w:rPr>
              <w:t>Басылым түрі (мақал,шолу, т.б.)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634D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eastAsia="ru-RU"/>
              </w:rPr>
            </w:pP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Журнал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атауы,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жарияланған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жылы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(мәліметтер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базасына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сәйкес),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DOI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7363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eastAsia="ru-RU"/>
              </w:rPr>
            </w:pP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Journal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Citation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Reports</w:t>
            </w:r>
            <w:r>
              <w:rPr>
                <w:sz w:val="21"/>
                <w:szCs w:val="21"/>
                <w:lang w:val="kk-KZ"/>
              </w:rPr>
              <w:t xml:space="preserve"> мәліметтері бойынша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 xml:space="preserve"> Журналдың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импакт-факторы,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квартиль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және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ғылым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>саласы</w:t>
            </w:r>
            <w:r>
              <w:rPr>
                <w:sz w:val="21"/>
                <w:szCs w:val="21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4D0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val="en-US" w:eastAsia="ru-RU"/>
              </w:rPr>
            </w:pP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Web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of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Science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Core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Collection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дерекқорындағы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Индекс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1652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val="en-US" w:eastAsia="ru-RU"/>
              </w:rPr>
            </w:pPr>
            <w:r>
              <w:rPr>
                <w:sz w:val="21"/>
                <w:szCs w:val="21"/>
                <w:lang w:val="en-US"/>
              </w:rPr>
              <w:t xml:space="preserve">Scopus </w:t>
            </w:r>
            <w:r>
              <w:rPr>
                <w:sz w:val="21"/>
                <w:szCs w:val="21"/>
              </w:rPr>
              <w:t>деректері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бойынша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журналдың</w:t>
            </w:r>
            <w:r>
              <w:rPr>
                <w:sz w:val="21"/>
                <w:szCs w:val="21"/>
                <w:lang w:val="en-US"/>
              </w:rPr>
              <w:t xml:space="preserve"> CiteScore </w:t>
            </w:r>
            <w:r>
              <w:rPr>
                <w:sz w:val="21"/>
                <w:szCs w:val="21"/>
              </w:rPr>
              <w:t>көрсеткіші</w:t>
            </w:r>
            <w:r>
              <w:rPr>
                <w:sz w:val="21"/>
                <w:szCs w:val="21"/>
                <w:lang w:val="en-US"/>
              </w:rPr>
              <w:t xml:space="preserve">, </w:t>
            </w:r>
            <w:r>
              <w:rPr>
                <w:sz w:val="21"/>
                <w:szCs w:val="21"/>
              </w:rPr>
              <w:t>процентилі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және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ғылым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саласы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42C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val="en-US" w:eastAsia="ru-RU"/>
              </w:rPr>
            </w:pPr>
            <w:r>
              <w:rPr>
                <w:bCs/>
                <w:sz w:val="21"/>
                <w:szCs w:val="21"/>
              </w:rPr>
              <w:t>Авторлардың</w:t>
            </w:r>
            <w:r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Cs/>
                <w:sz w:val="21"/>
                <w:szCs w:val="21"/>
              </w:rPr>
              <w:t>толық</w:t>
            </w:r>
            <w:r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Cs/>
                <w:sz w:val="21"/>
                <w:szCs w:val="21"/>
              </w:rPr>
              <w:t>аты</w:t>
            </w:r>
            <w:r>
              <w:rPr>
                <w:bCs/>
                <w:sz w:val="21"/>
                <w:szCs w:val="21"/>
                <w:lang w:val="en-US"/>
              </w:rPr>
              <w:t>-</w:t>
            </w:r>
            <w:r>
              <w:rPr>
                <w:bCs/>
                <w:sz w:val="21"/>
                <w:szCs w:val="21"/>
              </w:rPr>
              <w:t>жөні</w:t>
            </w:r>
            <w:r>
              <w:rPr>
                <w:bCs/>
                <w:sz w:val="21"/>
                <w:szCs w:val="21"/>
                <w:lang w:val="en-US"/>
              </w:rPr>
              <w:t xml:space="preserve"> (</w:t>
            </w:r>
            <w:r>
              <w:rPr>
                <w:bCs/>
                <w:sz w:val="21"/>
                <w:szCs w:val="21"/>
              </w:rPr>
              <w:t>өтініш</w:t>
            </w:r>
            <w:r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Cs/>
                <w:sz w:val="21"/>
                <w:szCs w:val="21"/>
              </w:rPr>
              <w:t>берушінің</w:t>
            </w:r>
            <w:r>
              <w:rPr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аты</w:t>
            </w:r>
            <w:r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</w:rPr>
              <w:t>жөнін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астын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сызып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көрсетіңіз</w:t>
            </w:r>
            <w:r>
              <w:rPr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138B" w14:textId="77777777" w:rsidR="007522F3" w:rsidRDefault="007522F3" w:rsidP="007522F3">
            <w:pPr>
              <w:spacing w:line="256" w:lineRule="auto"/>
              <w:rPr>
                <w:bCs/>
                <w:sz w:val="21"/>
                <w:szCs w:val="21"/>
                <w:lang w:val="en-US" w:eastAsia="ru-RU"/>
              </w:rPr>
            </w:pPr>
            <w:r>
              <w:rPr>
                <w:rStyle w:val="anegp0gi0b9av8jahpyh"/>
                <w:rFonts w:eastAsiaTheme="majorEastAsia"/>
                <w:sz w:val="21"/>
                <w:szCs w:val="21"/>
                <w:lang w:val="kk-KZ"/>
              </w:rPr>
              <w:t xml:space="preserve">Өтініш берушінің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рөлі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(</w:t>
            </w:r>
            <w:r>
              <w:rPr>
                <w:sz w:val="21"/>
                <w:szCs w:val="21"/>
              </w:rPr>
              <w:t>бірлескен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автор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,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бірінші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автор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немесе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rStyle w:val="anegp0gi0b9av8jahpyh"/>
                <w:rFonts w:eastAsiaTheme="majorEastAsia"/>
                <w:sz w:val="21"/>
                <w:szCs w:val="21"/>
              </w:rPr>
              <w:t>хат</w:t>
            </w:r>
            <w:r>
              <w:rPr>
                <w:sz w:val="21"/>
                <w:szCs w:val="21"/>
                <w:lang w:val="en-US"/>
              </w:rPr>
              <w:t>-</w:t>
            </w:r>
            <w:r>
              <w:rPr>
                <w:sz w:val="21"/>
                <w:szCs w:val="21"/>
              </w:rPr>
              <w:t>хабар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авторы</w:t>
            </w:r>
            <w:r>
              <w:rPr>
                <w:rStyle w:val="anegp0gi0b9av8jahpyh"/>
                <w:rFonts w:eastAsiaTheme="majorEastAsia"/>
                <w:sz w:val="21"/>
                <w:szCs w:val="21"/>
                <w:lang w:val="en-US"/>
              </w:rPr>
              <w:t>)</w:t>
            </w:r>
          </w:p>
        </w:tc>
      </w:tr>
      <w:tr w:rsidR="007522F3" w14:paraId="4D3B081A" w14:textId="77777777" w:rsidTr="007522F3">
        <w:trPr>
          <w:trHeight w:val="1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1938" w14:textId="77777777" w:rsidR="007522F3" w:rsidRDefault="007522F3" w:rsidP="007522F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5F51" w14:textId="77777777" w:rsidR="007522F3" w:rsidRDefault="007522F3" w:rsidP="007522F3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AECC" w14:textId="77777777" w:rsidR="007522F3" w:rsidRDefault="007522F3" w:rsidP="007522F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9211" w14:textId="77777777" w:rsidR="007522F3" w:rsidRDefault="007522F3" w:rsidP="007522F3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545E" w14:textId="77777777" w:rsidR="007522F3" w:rsidRDefault="007522F3" w:rsidP="007522F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AD9" w14:textId="77777777" w:rsidR="007522F3" w:rsidRDefault="007522F3" w:rsidP="007522F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D25B" w14:textId="77777777" w:rsidR="007522F3" w:rsidRDefault="007522F3" w:rsidP="007522F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0DC" w14:textId="77777777" w:rsidR="007522F3" w:rsidRDefault="007522F3" w:rsidP="007522F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EE1" w14:textId="77777777" w:rsidR="007522F3" w:rsidRDefault="007522F3" w:rsidP="007522F3">
            <w:pPr>
              <w:spacing w:line="256" w:lineRule="auto"/>
              <w:jc w:val="center"/>
            </w:pPr>
            <w:r>
              <w:t>9</w:t>
            </w:r>
          </w:p>
        </w:tc>
      </w:tr>
      <w:tr w:rsidR="007522F3" w14:paraId="59561E06" w14:textId="77777777" w:rsidTr="007522F3">
        <w:trPr>
          <w:trHeight w:val="1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988" w14:textId="77777777" w:rsidR="007522F3" w:rsidRDefault="007522F3" w:rsidP="007522F3">
            <w:pPr>
              <w:spacing w:line="256" w:lineRule="auto"/>
              <w:jc w:val="both"/>
            </w:pPr>
          </w:p>
          <w:p w14:paraId="1D1EA950" w14:textId="77777777" w:rsidR="007522F3" w:rsidRDefault="007522F3" w:rsidP="007522F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3C5232E9" w14:textId="77777777" w:rsidR="007522F3" w:rsidRDefault="007522F3" w:rsidP="007522F3">
            <w:pPr>
              <w:spacing w:line="256" w:lineRule="auto"/>
              <w:jc w:val="both"/>
            </w:pPr>
          </w:p>
          <w:p w14:paraId="3877EE1C" w14:textId="77777777" w:rsidR="007522F3" w:rsidRDefault="007522F3" w:rsidP="007522F3">
            <w:pPr>
              <w:spacing w:line="256" w:lineRule="auto"/>
              <w:jc w:val="both"/>
            </w:pPr>
          </w:p>
          <w:p w14:paraId="6BF67D5D" w14:textId="77777777" w:rsidR="007522F3" w:rsidRDefault="007522F3" w:rsidP="007522F3">
            <w:pPr>
              <w:spacing w:line="256" w:lineRule="auto"/>
              <w:jc w:val="both"/>
            </w:pPr>
          </w:p>
          <w:p w14:paraId="6A3446C7" w14:textId="77777777" w:rsidR="007522F3" w:rsidRDefault="007522F3" w:rsidP="007522F3">
            <w:pPr>
              <w:spacing w:line="256" w:lineRule="auto"/>
              <w:jc w:val="both"/>
            </w:pPr>
          </w:p>
          <w:p w14:paraId="728C3301" w14:textId="77777777" w:rsidR="007522F3" w:rsidRDefault="007522F3" w:rsidP="007522F3">
            <w:pPr>
              <w:spacing w:line="256" w:lineRule="auto"/>
              <w:jc w:val="both"/>
            </w:pPr>
          </w:p>
          <w:p w14:paraId="078DB117" w14:textId="77777777" w:rsidR="007522F3" w:rsidRDefault="007522F3" w:rsidP="007522F3">
            <w:pPr>
              <w:spacing w:line="256" w:lineRule="auto"/>
              <w:jc w:val="both"/>
            </w:pPr>
          </w:p>
          <w:p w14:paraId="61CF7F6B" w14:textId="77777777" w:rsidR="007522F3" w:rsidRDefault="007522F3" w:rsidP="007522F3">
            <w:pPr>
              <w:spacing w:line="256" w:lineRule="auto"/>
              <w:jc w:val="both"/>
            </w:pPr>
          </w:p>
          <w:p w14:paraId="70581152" w14:textId="77777777" w:rsidR="007522F3" w:rsidRDefault="007522F3" w:rsidP="007522F3">
            <w:pPr>
              <w:spacing w:line="256" w:lineRule="auto"/>
              <w:jc w:val="both"/>
            </w:pPr>
          </w:p>
          <w:p w14:paraId="7D9D74BD" w14:textId="77777777" w:rsidR="007522F3" w:rsidRDefault="007522F3" w:rsidP="007522F3">
            <w:pPr>
              <w:spacing w:line="256" w:lineRule="auto"/>
              <w:jc w:val="both"/>
            </w:pPr>
          </w:p>
          <w:p w14:paraId="1C9483E7" w14:textId="77777777" w:rsidR="007522F3" w:rsidRDefault="007522F3" w:rsidP="007522F3">
            <w:pPr>
              <w:spacing w:line="256" w:lineRule="auto"/>
              <w:jc w:val="both"/>
            </w:pPr>
          </w:p>
          <w:p w14:paraId="0894F788" w14:textId="77777777" w:rsidR="007522F3" w:rsidRDefault="007522F3" w:rsidP="007522F3">
            <w:pPr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E23D" w14:textId="77777777" w:rsidR="007522F3" w:rsidRDefault="007522F3" w:rsidP="007522F3">
            <w:pPr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Association between COVID-19 morbidity, mortality, and gross domestic product, overweight/ obesity, non-communicable diseases, vaccination rate: A cross-sectional study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316" w14:textId="77777777" w:rsidR="007522F3" w:rsidRDefault="007522F3" w:rsidP="007522F3">
            <w:pPr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article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688" w14:textId="77777777" w:rsidR="007522F3" w:rsidRDefault="007522F3" w:rsidP="007522F3">
            <w:pPr>
              <w:spacing w:line="25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Journal of Infection and Public Health,  February 2022, 10.1016/j.jiph.2022.01.009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CB0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IF - 1.081, Q1, Medicine: Public Health, Environmental and Occupational Health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19C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Public Health, Environmental and Occupational Health, </w:t>
            </w:r>
            <w:r>
              <w:rPr>
                <w:lang w:val="en-US"/>
              </w:rPr>
              <w:t>Q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694F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CiteScore - 13.1, Процентиль – 96, </w:t>
            </w:r>
            <w:r>
              <w:rPr>
                <w:lang w:val="en-US"/>
              </w:rPr>
              <w:t>Medicine</w:t>
            </w:r>
            <w:r>
              <w:rPr>
                <w:iCs/>
                <w:lang w:val="en-US"/>
              </w:rPr>
              <w:t>: Public Health, Environmental and Occupational Health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DB29" w14:textId="29C25322" w:rsidR="007522F3" w:rsidRDefault="007522F3" w:rsidP="007522F3">
            <w:pPr>
              <w:spacing w:line="256" w:lineRule="auto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Kuat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Oshakbayev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u w:val="single"/>
                <w:lang w:val="kk-KZ"/>
              </w:rPr>
              <w:t>Zulfiya</w:t>
            </w:r>
            <w:r>
              <w:rPr>
                <w:iCs/>
                <w:u w:val="single"/>
                <w:lang w:val="en-US"/>
              </w:rPr>
              <w:t xml:space="preserve"> </w:t>
            </w:r>
            <w:r>
              <w:rPr>
                <w:iCs/>
                <w:u w:val="single"/>
                <w:lang w:val="kk-KZ"/>
              </w:rPr>
              <w:t>Zhankalova</w:t>
            </w:r>
            <w:r>
              <w:rPr>
                <w:iCs/>
                <w:u w:val="single"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Meruyert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Gazaliyeva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lang w:val="kk-KZ"/>
              </w:rPr>
              <w:t>Khalit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Mustafin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lang w:val="kk-KZ"/>
              </w:rPr>
              <w:t>Gulnara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Bedelbayeva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lang w:val="kk-KZ"/>
              </w:rPr>
              <w:t>Bibazhar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kk-KZ"/>
              </w:rPr>
              <w:t>Dukenbayeva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lang w:val="kk-KZ"/>
              </w:rPr>
              <w:t>Nurzhan</w:t>
            </w:r>
            <w:r w:rsidRPr="007522F3">
              <w:rPr>
                <w:iCs/>
                <w:lang w:val="en-US"/>
              </w:rPr>
              <w:t>,</w:t>
            </w:r>
            <w:r>
              <w:rPr>
                <w:iCs/>
                <w:lang w:val="kk-KZ"/>
              </w:rPr>
              <w:t>Otarbayev</w:t>
            </w:r>
            <w:r>
              <w:rPr>
                <w:iCs/>
                <w:lang w:val="en-US"/>
              </w:rPr>
              <w:t xml:space="preserve">, </w:t>
            </w:r>
            <w:r>
              <w:rPr>
                <w:iCs/>
                <w:lang w:val="kk-KZ"/>
              </w:rPr>
              <w:t>AttilaTordai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71B" w14:textId="77777777" w:rsidR="007522F3" w:rsidRDefault="007522F3" w:rsidP="007522F3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соавтор</w:t>
            </w:r>
          </w:p>
        </w:tc>
      </w:tr>
      <w:tr w:rsidR="007522F3" w14:paraId="727F15B4" w14:textId="77777777" w:rsidTr="007522F3">
        <w:trPr>
          <w:trHeight w:val="1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680" w14:textId="77777777" w:rsidR="007522F3" w:rsidRDefault="007522F3" w:rsidP="007522F3">
            <w:pPr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30A" w14:textId="77777777" w:rsidR="007522F3" w:rsidRDefault="007522F3" w:rsidP="007522F3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97BF" w14:textId="77777777" w:rsidR="007522F3" w:rsidRDefault="007522F3" w:rsidP="007522F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E4E" w14:textId="77777777" w:rsidR="007522F3" w:rsidRDefault="007522F3" w:rsidP="007522F3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0F6" w14:textId="77777777" w:rsidR="007522F3" w:rsidRDefault="007522F3" w:rsidP="007522F3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30D" w14:textId="77777777" w:rsidR="007522F3" w:rsidRDefault="007522F3" w:rsidP="007522F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70B6" w14:textId="77777777" w:rsidR="007522F3" w:rsidRDefault="007522F3" w:rsidP="007522F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1E6" w14:textId="77777777" w:rsidR="007522F3" w:rsidRDefault="007522F3" w:rsidP="007522F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E117" w14:textId="77777777" w:rsidR="007522F3" w:rsidRDefault="007522F3" w:rsidP="007522F3">
            <w:pPr>
              <w:spacing w:line="256" w:lineRule="auto"/>
              <w:jc w:val="center"/>
            </w:pPr>
            <w:r>
              <w:t>9</w:t>
            </w:r>
          </w:p>
        </w:tc>
      </w:tr>
      <w:tr w:rsidR="007522F3" w14:paraId="4A76F477" w14:textId="77777777" w:rsidTr="007522F3">
        <w:trPr>
          <w:trHeight w:val="1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9F3E" w14:textId="77777777" w:rsidR="007522F3" w:rsidRDefault="007522F3" w:rsidP="007522F3">
            <w:pPr>
              <w:spacing w:line="25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2F2" w14:textId="77777777" w:rsidR="007522F3" w:rsidRDefault="007522F3" w:rsidP="007522F3">
            <w:pPr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Weight loss treatment for COVID-19 in patients with NCDs: a pilot prospective clinical trial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AB4F" w14:textId="77777777" w:rsidR="007522F3" w:rsidRDefault="007522F3" w:rsidP="007522F3">
            <w:pPr>
              <w:spacing w:line="25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article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D707" w14:textId="77777777" w:rsidR="007522F3" w:rsidRDefault="007522F3" w:rsidP="007522F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Scientific Reports</w:t>
            </w:r>
            <w:r>
              <w:rPr>
                <w:lang w:val="kk-KZ"/>
              </w:rPr>
              <w:t xml:space="preserve">,  December 2024,  10.1038/s41598-024-61703-1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25DF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kk-KZ"/>
              </w:rPr>
            </w:pPr>
            <w:r>
              <w:rPr>
                <w:iCs/>
              </w:rPr>
              <w:t>IF -</w:t>
            </w:r>
            <w:r>
              <w:rPr>
                <w:iCs/>
                <w:lang w:val="kk-KZ"/>
              </w:rPr>
              <w:t xml:space="preserve"> </w:t>
            </w:r>
            <w:r>
              <w:t>0.900</w:t>
            </w:r>
            <w:r>
              <w:rPr>
                <w:iCs/>
                <w:lang w:val="kk-KZ"/>
              </w:rPr>
              <w:t>,</w:t>
            </w:r>
            <w:r>
              <w:rPr>
                <w:iCs/>
                <w:lang w:val="en-US"/>
              </w:rPr>
              <w:t xml:space="preserve"> Q1, </w:t>
            </w:r>
            <w:r>
              <w:rPr>
                <w:iCs/>
                <w:lang w:val="kk-KZ"/>
              </w:rPr>
              <w:t xml:space="preserve"> Multidisciplinary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F4C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kk-KZ"/>
              </w:rPr>
            </w:pPr>
            <w:r>
              <w:rPr>
                <w:iCs/>
              </w:rPr>
              <w:t>Multidisciplinary sciences</w:t>
            </w:r>
            <w:r>
              <w:rPr>
                <w:iCs/>
                <w:lang w:val="kk-KZ"/>
              </w:rPr>
              <w:t xml:space="preserve">, </w:t>
            </w:r>
            <w:r>
              <w:t>Q</w:t>
            </w:r>
            <w:r>
              <w:rPr>
                <w:iCs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6D92" w14:textId="77777777" w:rsidR="007522F3" w:rsidRDefault="007522F3" w:rsidP="007522F3">
            <w:pPr>
              <w:spacing w:line="256" w:lineRule="auto"/>
              <w:jc w:val="both"/>
              <w:rPr>
                <w:iCs/>
              </w:rPr>
            </w:pPr>
            <w:r>
              <w:rPr>
                <w:iCs/>
                <w:lang w:val="en-US"/>
              </w:rPr>
              <w:t xml:space="preserve">CiteScore – </w:t>
            </w:r>
            <w:r>
              <w:rPr>
                <w:iCs/>
                <w:lang w:val="kk-KZ"/>
              </w:rPr>
              <w:t>7.5</w:t>
            </w:r>
            <w:r>
              <w:rPr>
                <w:iCs/>
                <w:lang w:val="en-US"/>
              </w:rPr>
              <w:t xml:space="preserve">, Процентиль – </w:t>
            </w:r>
            <w:r>
              <w:rPr>
                <w:iCs/>
              </w:rPr>
              <w:t>89</w:t>
            </w:r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rPr>
                <w:iCs/>
                <w:lang w:val="en-US"/>
              </w:rPr>
              <w:t>Multidisciplinary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6544" w14:textId="77777777" w:rsidR="007522F3" w:rsidRDefault="007522F3" w:rsidP="007522F3">
            <w:pPr>
              <w:spacing w:line="256" w:lineRule="auto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Kuat Oshakbayev, Aigul Durmanova, </w:t>
            </w:r>
            <w:r>
              <w:rPr>
                <w:iCs/>
                <w:u w:val="single"/>
                <w:lang w:val="kk-KZ"/>
              </w:rPr>
              <w:t>Zulfiya Zhankalova</w:t>
            </w:r>
            <w:r>
              <w:rPr>
                <w:iCs/>
                <w:lang w:val="kk-KZ"/>
              </w:rPr>
              <w:t>, Alisher Idrisov, Gulnara Bedelbayeva, Meruyert Gazaliyeva, Altay Nabiyev, Attila Tordai, Bibazhar Dukenbayeva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A969" w14:textId="77777777" w:rsidR="007522F3" w:rsidRDefault="007522F3" w:rsidP="007522F3">
            <w:pPr>
              <w:spacing w:line="25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</w:tbl>
    <w:p w14:paraId="508D5278" w14:textId="77777777" w:rsidR="007522F3" w:rsidRDefault="007522F3" w:rsidP="007522F3">
      <w:pPr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8A1AC3F" w14:textId="77777777" w:rsidR="007522F3" w:rsidRDefault="007522F3" w:rsidP="007522F3">
      <w:pPr>
        <w:ind w:left="708" w:firstLine="70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D59C0E1" w14:textId="77777777" w:rsidR="007522F3" w:rsidRDefault="007522F3" w:rsidP="007522F3">
      <w:pPr>
        <w:ind w:left="708" w:firstLine="708"/>
        <w:jc w:val="both"/>
        <w:rPr>
          <w:lang w:val="kk-KZ" w:eastAsia="ru-RU"/>
        </w:rPr>
      </w:pPr>
    </w:p>
    <w:p w14:paraId="07496955" w14:textId="54224771" w:rsidR="007522F3" w:rsidRDefault="007522F3" w:rsidP="007522F3">
      <w:pPr>
        <w:shd w:val="clear" w:color="auto" w:fill="FFFFFF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5912"/>
        </w:tabs>
        <w:ind w:firstLine="708"/>
        <w:jc w:val="both"/>
        <w:textAlignment w:val="baseline"/>
        <w:rPr>
          <w:b/>
          <w:bCs/>
          <w:spacing w:val="2"/>
          <w:lang w:val="kk-KZ" w:eastAsia="ru-RU"/>
        </w:rPr>
      </w:pPr>
      <w:r>
        <w:rPr>
          <w:rStyle w:val="anegp0gi0b9av8jahpyh"/>
          <w:rFonts w:eastAsiaTheme="majorEastAsia"/>
          <w:b/>
          <w:lang w:val="kk-KZ"/>
        </w:rPr>
        <w:t xml:space="preserve">                            Өтініш</w:t>
      </w:r>
      <w:r>
        <w:rPr>
          <w:b/>
          <w:lang w:val="kk-KZ"/>
        </w:rPr>
        <w:t xml:space="preserve"> беруші</w:t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  <w:t>З.М.Жанкалова</w:t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</w:r>
      <w:r>
        <w:rPr>
          <w:b/>
          <w:bCs/>
          <w:spacing w:val="2"/>
          <w:lang w:val="kk-KZ" w:eastAsia="ru-RU"/>
        </w:rPr>
        <w:tab/>
        <w:t xml:space="preserve">                                   </w:t>
      </w:r>
    </w:p>
    <w:p w14:paraId="265AA371" w14:textId="77777777" w:rsidR="007522F3" w:rsidRDefault="007522F3" w:rsidP="007522F3">
      <w:pPr>
        <w:shd w:val="clear" w:color="auto" w:fill="FFFFFF"/>
        <w:jc w:val="both"/>
        <w:textAlignment w:val="baseline"/>
        <w:rPr>
          <w:b/>
          <w:bCs/>
          <w:spacing w:val="2"/>
          <w:lang w:val="kk-KZ" w:eastAsia="ru-RU"/>
        </w:rPr>
      </w:pPr>
    </w:p>
    <w:p w14:paraId="7E3CFD6A" w14:textId="77777777" w:rsidR="007522F3" w:rsidRDefault="007522F3" w:rsidP="007522F3">
      <w:pPr>
        <w:shd w:val="clear" w:color="auto" w:fill="FFFFFF"/>
        <w:jc w:val="both"/>
        <w:textAlignment w:val="baseline"/>
        <w:rPr>
          <w:b/>
          <w:bCs/>
          <w:i/>
          <w:spacing w:val="2"/>
          <w:lang w:val="kk-KZ" w:eastAsia="ru-RU"/>
        </w:rPr>
      </w:pPr>
    </w:p>
    <w:p w14:paraId="04D2C3C6" w14:textId="77777777" w:rsidR="007522F3" w:rsidRPr="007522F3" w:rsidRDefault="007522F3" w:rsidP="007522F3">
      <w:pPr>
        <w:shd w:val="clear" w:color="auto" w:fill="FFFFFF"/>
        <w:ind w:firstLine="708"/>
        <w:textAlignment w:val="baseline"/>
        <w:rPr>
          <w:rStyle w:val="ac"/>
          <w:rFonts w:eastAsiaTheme="majorEastAsia"/>
          <w:lang w:val="kk-KZ"/>
        </w:rPr>
      </w:pPr>
      <w:r>
        <w:rPr>
          <w:rStyle w:val="ac"/>
          <w:rFonts w:eastAsiaTheme="majorEastAsia"/>
          <w:lang w:val="kk-KZ"/>
        </w:rPr>
        <w:t xml:space="preserve">                           Ғылыми кеңестің хатшысы</w:t>
      </w:r>
      <w:r>
        <w:rPr>
          <w:lang w:val="kk-KZ"/>
        </w:rPr>
        <w:t xml:space="preserve"> </w:t>
      </w:r>
      <w:r>
        <w:rPr>
          <w:rStyle w:val="ac"/>
          <w:rFonts w:eastAsiaTheme="majorEastAsia"/>
          <w:lang w:val="kk-KZ"/>
        </w:rPr>
        <w:t xml:space="preserve">м.ғ.д, </w:t>
      </w:r>
    </w:p>
    <w:p w14:paraId="24AD2493" w14:textId="34CDC54E" w:rsidR="007522F3" w:rsidRDefault="007522F3" w:rsidP="007522F3">
      <w:pPr>
        <w:shd w:val="clear" w:color="auto" w:fill="FFFFFF"/>
        <w:ind w:firstLine="708"/>
        <w:jc w:val="both"/>
        <w:textAlignment w:val="baseline"/>
        <w:rPr>
          <w:rFonts w:eastAsiaTheme="majorEastAsia"/>
          <w:spacing w:val="2"/>
          <w:lang w:eastAsia="ru-RU"/>
        </w:rPr>
      </w:pPr>
      <w:r>
        <w:rPr>
          <w:rStyle w:val="ac"/>
          <w:rFonts w:eastAsiaTheme="majorEastAsia"/>
          <w:lang w:val="kk-KZ"/>
        </w:rPr>
        <w:t xml:space="preserve">                           </w:t>
      </w:r>
      <w:r>
        <w:rPr>
          <w:rStyle w:val="ac"/>
          <w:rFonts w:eastAsiaTheme="majorEastAsia"/>
        </w:rPr>
        <w:t>қауымдастырылған профессор</w:t>
      </w:r>
      <w:r>
        <w:rPr>
          <w:b/>
          <w:bCs/>
        </w:rPr>
        <w:tab/>
      </w:r>
      <w:r>
        <w:rPr>
          <w:b/>
          <w:bCs/>
          <w:spacing w:val="2"/>
          <w:lang w:eastAsia="ru-RU"/>
        </w:rPr>
        <w:tab/>
      </w:r>
      <w:r>
        <w:rPr>
          <w:b/>
          <w:bCs/>
          <w:spacing w:val="2"/>
          <w:lang w:eastAsia="ru-RU"/>
        </w:rPr>
        <w:tab/>
      </w:r>
      <w:r>
        <w:rPr>
          <w:b/>
          <w:bCs/>
          <w:spacing w:val="2"/>
          <w:lang w:eastAsia="ru-RU"/>
        </w:rPr>
        <w:tab/>
      </w:r>
      <w:r>
        <w:rPr>
          <w:b/>
          <w:bCs/>
          <w:spacing w:val="2"/>
          <w:lang w:eastAsia="ru-RU"/>
        </w:rPr>
        <w:tab/>
      </w:r>
      <w:r>
        <w:rPr>
          <w:b/>
          <w:bCs/>
          <w:spacing w:val="2"/>
          <w:lang w:eastAsia="ru-RU"/>
        </w:rPr>
        <w:tab/>
        <w:t xml:space="preserve"> А.Ш. </w:t>
      </w:r>
      <w:r>
        <w:rPr>
          <w:b/>
          <w:bCs/>
          <w:spacing w:val="2"/>
          <w:lang w:eastAsia="ru-RU"/>
        </w:rPr>
        <w:t>Ибраева</w:t>
      </w:r>
    </w:p>
    <w:p w14:paraId="2160E43C" w14:textId="77777777" w:rsidR="007522F3" w:rsidRDefault="007522F3" w:rsidP="007522F3">
      <w:pPr>
        <w:ind w:left="708" w:firstLine="708"/>
        <w:jc w:val="both"/>
        <w:rPr>
          <w:lang w:val="kk-KZ" w:eastAsia="ru-RU"/>
        </w:rPr>
      </w:pPr>
    </w:p>
    <w:p w14:paraId="689356B5" w14:textId="77777777" w:rsidR="00B60E18" w:rsidRDefault="00B60E18"/>
    <w:sectPr w:rsidR="00B60E18" w:rsidSect="00752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A"/>
    <w:rsid w:val="00365990"/>
    <w:rsid w:val="007174EA"/>
    <w:rsid w:val="007522F3"/>
    <w:rsid w:val="00B60E18"/>
    <w:rsid w:val="00C1438D"/>
    <w:rsid w:val="00D7725E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DA56"/>
  <w15:chartTrackingRefBased/>
  <w15:docId w15:val="{89C5B0A0-75D5-47B6-B9B9-6A4381C2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4E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E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E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E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E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E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E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E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E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4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4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4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4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4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4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4E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E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4E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4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4E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74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4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4EA"/>
    <w:rPr>
      <w:b/>
      <w:bCs/>
      <w:smallCaps/>
      <w:color w:val="2F5496" w:themeColor="accent1" w:themeShade="BF"/>
      <w:spacing w:val="5"/>
    </w:rPr>
  </w:style>
  <w:style w:type="character" w:customStyle="1" w:styleId="anegp0gi0b9av8jahpyh">
    <w:name w:val="anegp0gi0b9av8jahpyh"/>
    <w:basedOn w:val="a0"/>
    <w:rsid w:val="007522F3"/>
  </w:style>
  <w:style w:type="character" w:styleId="ac">
    <w:name w:val="Strong"/>
    <w:basedOn w:val="a0"/>
    <w:uiPriority w:val="22"/>
    <w:qFormat/>
    <w:rsid w:val="0075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 department</dc:creator>
  <cp:keywords/>
  <dc:description/>
  <cp:lastModifiedBy>KDO department</cp:lastModifiedBy>
  <cp:revision>2</cp:revision>
  <dcterms:created xsi:type="dcterms:W3CDTF">2025-06-26T06:32:00Z</dcterms:created>
  <dcterms:modified xsi:type="dcterms:W3CDTF">2025-06-26T06:36:00Z</dcterms:modified>
</cp:coreProperties>
</file>