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C5C5" w14:textId="25A5A111" w:rsidR="00004423" w:rsidRPr="003F5325" w:rsidRDefault="00E97DFC" w:rsidP="003F532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532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5F6D7C1" w14:textId="77777777" w:rsidR="00004423" w:rsidRPr="003F5325" w:rsidRDefault="00004423" w:rsidP="003F532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BFE200" w14:textId="2770B786" w:rsidR="00004423" w:rsidRPr="003F5325" w:rsidRDefault="00E97DFC" w:rsidP="003F532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>Справка</w:t>
      </w:r>
    </w:p>
    <w:p w14:paraId="314E0081" w14:textId="4D1FDCFF" w:rsidR="00004423" w:rsidRPr="003F5325" w:rsidRDefault="007C7496" w:rsidP="003F532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>о соискателе ученого звания а</w:t>
      </w:r>
      <w:r w:rsidR="004B08EA"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>ссоциированный</w:t>
      </w:r>
      <w:r w:rsidR="00E97DFC"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профессор</w:t>
      </w:r>
      <w:r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(доцент)</w:t>
      </w:r>
      <w:r w:rsidR="00E97DFC"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по </w:t>
      </w:r>
      <w:r w:rsidR="00EB485E"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научному </w:t>
      </w:r>
      <w:r w:rsidR="00E97DFC"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>направлению 30100 -</w:t>
      </w:r>
      <w:r w:rsidR="00816B23" w:rsidRPr="003F5325">
        <w:rPr>
          <w:rFonts w:ascii="Times New Roman" w:hAnsi="Times New Roman" w:cs="Times New Roman"/>
          <w:bCs w:val="0"/>
          <w:color w:val="auto"/>
          <w:sz w:val="28"/>
          <w:szCs w:val="28"/>
        </w:rPr>
        <w:t>Медицинские науки</w:t>
      </w:r>
    </w:p>
    <w:p w14:paraId="18761AED" w14:textId="30495D76" w:rsidR="00004423" w:rsidRPr="003F5325" w:rsidRDefault="00004423" w:rsidP="003F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704"/>
        <w:gridCol w:w="3827"/>
        <w:gridCol w:w="5529"/>
      </w:tblGrid>
      <w:tr w:rsidR="003F5325" w:rsidRPr="003F5325" w14:paraId="6507A6A5" w14:textId="77777777" w:rsidTr="001D07A4">
        <w:tc>
          <w:tcPr>
            <w:tcW w:w="704" w:type="dxa"/>
          </w:tcPr>
          <w:p w14:paraId="1C94DF71" w14:textId="77777777" w:rsidR="004B08EA" w:rsidRPr="003F5325" w:rsidRDefault="004B08EA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4CBCFB" w14:textId="49D9EFAC" w:rsidR="004B08EA" w:rsidRPr="003F5325" w:rsidRDefault="004B08EA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529" w:type="dxa"/>
            <w:vAlign w:val="center"/>
          </w:tcPr>
          <w:p w14:paraId="18FAB53D" w14:textId="2AC246B1" w:rsidR="004B08EA" w:rsidRPr="003F5325" w:rsidRDefault="00C2335D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Фарида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Ерашимовна</w:t>
            </w:r>
            <w:proofErr w:type="spellEnd"/>
          </w:p>
        </w:tc>
      </w:tr>
      <w:tr w:rsidR="003F5325" w:rsidRPr="003F5325" w14:paraId="0BE03B4F" w14:textId="77777777" w:rsidTr="001D07A4">
        <w:tc>
          <w:tcPr>
            <w:tcW w:w="704" w:type="dxa"/>
          </w:tcPr>
          <w:p w14:paraId="15DBB1EF" w14:textId="77777777" w:rsidR="004B08EA" w:rsidRPr="003F5325" w:rsidRDefault="004B08EA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45D98B" w14:textId="43DBB5E8" w:rsidR="004B08EA" w:rsidRPr="003F5325" w:rsidRDefault="004B08EA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Ученая степень (кандидата наук, доктора наук, доктора философии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профилю, дата присуждения</w:t>
            </w:r>
          </w:p>
        </w:tc>
        <w:tc>
          <w:tcPr>
            <w:tcW w:w="5529" w:type="dxa"/>
            <w:vAlign w:val="center"/>
          </w:tcPr>
          <w:p w14:paraId="31698486" w14:textId="7A494AE9" w:rsidR="004B08EA" w:rsidRPr="003F5325" w:rsidRDefault="004B08EA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Ученая степень кандидата медицинских наук (</w:t>
            </w:r>
            <w:r w:rsidR="00E47E59" w:rsidRPr="003F532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C2335D" w:rsidRPr="003F5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5D0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59" w:rsidRPr="003F5325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C2335D" w:rsidRPr="003F5325">
              <w:rPr>
                <w:rFonts w:ascii="Times New Roman" w:hAnsi="Times New Roman" w:cs="Times New Roman"/>
                <w:sz w:val="28"/>
                <w:szCs w:val="28"/>
              </w:rPr>
              <w:t>5 мая 2010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47E59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7E59" w:rsidRPr="003F5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FK</w:t>
            </w:r>
            <w:r w:rsidR="00C2335D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№0004547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B77A6C" w14:textId="0873CB45" w:rsidR="004B08EA" w:rsidRPr="003F5325" w:rsidRDefault="004B08EA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25" w:rsidRPr="003F5325" w14:paraId="4E73B32F" w14:textId="77777777" w:rsidTr="001D07A4">
        <w:tc>
          <w:tcPr>
            <w:tcW w:w="704" w:type="dxa"/>
          </w:tcPr>
          <w:p w14:paraId="3DFF1EAD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489C5A" w14:textId="3D633399" w:rsidR="00C11515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5529" w:type="dxa"/>
          </w:tcPr>
          <w:p w14:paraId="1FA31545" w14:textId="781A8186" w:rsidR="00C11515" w:rsidRPr="003F5325" w:rsidRDefault="006E5C24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имею </w:t>
            </w:r>
          </w:p>
        </w:tc>
      </w:tr>
      <w:tr w:rsidR="003F5325" w:rsidRPr="003F5325" w14:paraId="6E2E6EC7" w14:textId="77777777" w:rsidTr="001D07A4">
        <w:tc>
          <w:tcPr>
            <w:tcW w:w="704" w:type="dxa"/>
          </w:tcPr>
          <w:p w14:paraId="27E417F9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4786FF0" w14:textId="28AF7054" w:rsidR="00C11515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5529" w:type="dxa"/>
            <w:vAlign w:val="center"/>
          </w:tcPr>
          <w:p w14:paraId="4B6B4B24" w14:textId="5381783A" w:rsidR="004D2ABC" w:rsidRPr="003F5325" w:rsidRDefault="00C2335D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3F5325" w:rsidRPr="003F5325" w14:paraId="2F1E1023" w14:textId="77777777" w:rsidTr="001D07A4">
        <w:tc>
          <w:tcPr>
            <w:tcW w:w="704" w:type="dxa"/>
          </w:tcPr>
          <w:p w14:paraId="7FB4F74F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C8091FA" w14:textId="23915CC4" w:rsidR="00C11515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  <w:vAlign w:val="center"/>
          </w:tcPr>
          <w:p w14:paraId="4B6CFC76" w14:textId="66E94CF4" w:rsidR="004D2ABC" w:rsidRPr="003F5325" w:rsidRDefault="00C2335D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Ассоциированный профессор без ученого звания кафедры внутренних болезней</w:t>
            </w:r>
            <w:r w:rsidR="00C11515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(приказ №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4745</w:t>
            </w:r>
            <w:r w:rsidR="00C306C6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л/с от 0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06C6" w:rsidRPr="003F5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06C6" w:rsidRPr="003F53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06C6" w:rsidRPr="003F53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11515" w:rsidRPr="003F5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5325" w:rsidRPr="003F5325" w14:paraId="20352CFD" w14:textId="77777777" w:rsidTr="001D07A4">
        <w:tc>
          <w:tcPr>
            <w:tcW w:w="704" w:type="dxa"/>
          </w:tcPr>
          <w:p w14:paraId="422CC7F6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33151AB" w14:textId="77777777" w:rsidR="00C11515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Стаж научной, научно-педагогической деятельности</w:t>
            </w:r>
          </w:p>
          <w:p w14:paraId="4AFFFFCF" w14:textId="09BAED61" w:rsidR="004A02FC" w:rsidRPr="003F5325" w:rsidRDefault="004A02FC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65C29DA" w14:textId="455B5714" w:rsidR="00C11515" w:rsidRPr="003F5325" w:rsidRDefault="002248BB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Всего 18</w:t>
            </w:r>
            <w:r w:rsidR="00C11515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1EAC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="00A51EAC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1515" w:rsidRPr="003F5325">
              <w:rPr>
                <w:rFonts w:ascii="Times New Roman" w:hAnsi="Times New Roman" w:cs="Times New Roman"/>
                <w:sz w:val="28"/>
                <w:szCs w:val="28"/>
              </w:rPr>
              <w:t>в том числе в должн</w:t>
            </w:r>
            <w:bookmarkStart w:id="0" w:name="_GoBack"/>
            <w:bookmarkEnd w:id="0"/>
            <w:r w:rsidR="00C11515" w:rsidRPr="003F5325">
              <w:rPr>
                <w:rFonts w:ascii="Times New Roman" w:hAnsi="Times New Roman" w:cs="Times New Roman"/>
                <w:sz w:val="28"/>
                <w:szCs w:val="28"/>
              </w:rPr>
              <w:t>ости доцента 9 лет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B0221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58110" w14:textId="634D3F3B" w:rsidR="004D2ABC" w:rsidRPr="003F5325" w:rsidRDefault="002248BB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19лет 4 </w:t>
            </w:r>
            <w:r w:rsidR="00127408" w:rsidRPr="003F532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5325" w:rsidRPr="003F5325" w14:paraId="20E0C225" w14:textId="77777777" w:rsidTr="001D07A4">
        <w:tc>
          <w:tcPr>
            <w:tcW w:w="704" w:type="dxa"/>
          </w:tcPr>
          <w:p w14:paraId="702B51E8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1AE78F7" w14:textId="77777777" w:rsidR="00C11515" w:rsidRPr="003F5325" w:rsidRDefault="00C11515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  <w:p w14:paraId="357D70D3" w14:textId="77777777" w:rsidR="004A02FC" w:rsidRPr="003F5325" w:rsidRDefault="004A02FC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1DE04" w14:textId="77777777" w:rsidR="004A02FC" w:rsidRPr="003F5325" w:rsidRDefault="004A02FC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8A86B" w14:textId="77777777" w:rsidR="004A02FC" w:rsidRPr="003F5325" w:rsidRDefault="004A02FC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99B13" w14:textId="20CA6130" w:rsidR="004A02FC" w:rsidRPr="003F5325" w:rsidRDefault="004A02FC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225B8" w14:textId="45DCAA2F" w:rsidR="004A02FC" w:rsidRPr="003F5325" w:rsidRDefault="004A02FC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C9DE82D" w14:textId="21F3F94E" w:rsidR="00DC503F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Всего - 2</w:t>
            </w:r>
            <w:r w:rsidR="003F5325" w:rsidRPr="003F5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, в том числе в изданиях рекомендуемых уполномоченным органом - 1</w:t>
            </w:r>
            <w:r w:rsidR="004D06AD" w:rsidRPr="004D06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, в научных журналах, входящих в базы компании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оф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Сайнс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Кор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Коллекшн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))  -, 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Скопус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) или JSTOR (ДЖЕЙСТОР) - </w:t>
            </w:r>
            <w:r w:rsidR="003F5325" w:rsidRPr="003F5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, творческих трудов (авто</w:t>
            </w:r>
            <w:r w:rsidR="001F4BE5" w:rsidRPr="003F5325">
              <w:rPr>
                <w:rFonts w:ascii="Times New Roman" w:hAnsi="Times New Roman" w:cs="Times New Roman"/>
                <w:sz w:val="28"/>
                <w:szCs w:val="28"/>
              </w:rPr>
              <w:t>рских свидетельств) -</w:t>
            </w:r>
            <w:r w:rsidR="000C2082" w:rsidRPr="003F5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413" w:rsidRPr="003F5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5325" w:rsidRPr="003F5325" w14:paraId="25BE6F0F" w14:textId="77777777" w:rsidTr="001D07A4">
        <w:tc>
          <w:tcPr>
            <w:tcW w:w="704" w:type="dxa"/>
          </w:tcPr>
          <w:p w14:paraId="13A5CE94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AF2B9A3" w14:textId="3B39E9B9" w:rsidR="004A02FC" w:rsidRPr="003F5325" w:rsidRDefault="00C11515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изданных за последние 5 лет монографий, учебников, единолично написанных учебных 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(учебно-методическое) пособий</w:t>
            </w:r>
          </w:p>
        </w:tc>
        <w:tc>
          <w:tcPr>
            <w:tcW w:w="5529" w:type="dxa"/>
            <w:vAlign w:val="center"/>
          </w:tcPr>
          <w:p w14:paraId="2CC8930F" w14:textId="202C5A2A" w:rsidR="00DC503F" w:rsidRPr="003F5325" w:rsidRDefault="002248BB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Соавтор м</w:t>
            </w:r>
            <w:r w:rsidR="00074E7D" w:rsidRPr="003F5325">
              <w:rPr>
                <w:rFonts w:ascii="Times New Roman" w:hAnsi="Times New Roman" w:cs="Times New Roman"/>
                <w:sz w:val="28"/>
                <w:szCs w:val="28"/>
              </w:rPr>
              <w:t>онографи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74E7D" w:rsidRPr="003F53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Метаболический синдром у лиц молодого возраста: ключевые вопросы</w:t>
            </w:r>
            <w:r w:rsidR="00074E7D" w:rsidRPr="003F5325">
              <w:rPr>
                <w:rFonts w:ascii="Times New Roman" w:hAnsi="Times New Roman" w:cs="Times New Roman"/>
                <w:sz w:val="28"/>
                <w:szCs w:val="28"/>
              </w:rPr>
              <w:t>». Алматы, 2025г</w:t>
            </w:r>
          </w:p>
        </w:tc>
      </w:tr>
      <w:tr w:rsidR="003F5325" w:rsidRPr="003F5325" w14:paraId="59672450" w14:textId="77777777" w:rsidTr="001D07A4">
        <w:tc>
          <w:tcPr>
            <w:tcW w:w="704" w:type="dxa"/>
          </w:tcPr>
          <w:p w14:paraId="1393D154" w14:textId="30715813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8D24A2D" w14:textId="7516F1B1" w:rsidR="00C11515" w:rsidRPr="003F5325" w:rsidRDefault="00C11515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</w:t>
            </w:r>
          </w:p>
        </w:tc>
        <w:tc>
          <w:tcPr>
            <w:tcW w:w="5529" w:type="dxa"/>
            <w:vAlign w:val="center"/>
          </w:tcPr>
          <w:p w14:paraId="26745ED7" w14:textId="5B2B95A2" w:rsidR="00C11515" w:rsidRPr="003F5325" w:rsidRDefault="00D37992" w:rsidP="003F53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3F532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-</w:t>
            </w:r>
          </w:p>
        </w:tc>
      </w:tr>
      <w:tr w:rsidR="003F5325" w:rsidRPr="003F5325" w14:paraId="55CBF7B8" w14:textId="77777777" w:rsidTr="001D07A4">
        <w:tc>
          <w:tcPr>
            <w:tcW w:w="704" w:type="dxa"/>
          </w:tcPr>
          <w:p w14:paraId="2EA8FC95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3EEBA92" w14:textId="5BBEBF0E" w:rsidR="00C11515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529" w:type="dxa"/>
            <w:vAlign w:val="center"/>
          </w:tcPr>
          <w:p w14:paraId="18782FBC" w14:textId="37B8B396" w:rsidR="00C11515" w:rsidRPr="003F5325" w:rsidRDefault="00C11515" w:rsidP="003F53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5" w:rsidRPr="003F5325" w14:paraId="69F73045" w14:textId="77777777" w:rsidTr="001D07A4">
        <w:tc>
          <w:tcPr>
            <w:tcW w:w="704" w:type="dxa"/>
          </w:tcPr>
          <w:p w14:paraId="50324D05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4C19DF8" w14:textId="65B07F22" w:rsidR="00C11515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9" w:type="dxa"/>
            <w:vAlign w:val="center"/>
          </w:tcPr>
          <w:p w14:paraId="02D6152E" w14:textId="24F8C10A" w:rsidR="00C11515" w:rsidRPr="003F5325" w:rsidRDefault="00C11515" w:rsidP="003F53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5" w:rsidRPr="004D06AD" w14:paraId="531B641B" w14:textId="77777777" w:rsidTr="001D07A4">
        <w:tc>
          <w:tcPr>
            <w:tcW w:w="704" w:type="dxa"/>
          </w:tcPr>
          <w:p w14:paraId="7EF085BC" w14:textId="77777777" w:rsidR="00C11515" w:rsidRPr="003F5325" w:rsidRDefault="00C11515" w:rsidP="003F532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C4788D0" w14:textId="1EC27575" w:rsidR="00C11515" w:rsidRPr="003F5325" w:rsidRDefault="00C11515" w:rsidP="003F5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29" w:type="dxa"/>
            <w:vAlign w:val="center"/>
          </w:tcPr>
          <w:p w14:paraId="1FC8CE50" w14:textId="32414E76" w:rsidR="0035223D" w:rsidRPr="003F5325" w:rsidRDefault="0035223D" w:rsidP="003F532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Член «Казахское общество по тромбозам и гемостазу», «</w:t>
            </w:r>
            <w:r w:rsidRPr="003F532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Ассоциация кардиологов РК», «</w:t>
            </w:r>
            <w:r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 специалистов по артериальной гипертонии и кардиоваскулярной профилактике», «Евразийская ассоциация терапевтов», «Европейское общество кардиологов».</w:t>
            </w:r>
          </w:p>
          <w:p w14:paraId="6F08528C" w14:textId="77777777" w:rsidR="009B4815" w:rsidRPr="003F5325" w:rsidRDefault="00D30E87" w:rsidP="003F532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1" w:hanging="283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="00C511FB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кардиолог 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  <w:r w:rsidR="00A4202A" w:rsidRPr="003F5325">
              <w:rPr>
                <w:rFonts w:ascii="Times New Roman" w:hAnsi="Times New Roman" w:cs="Times New Roman"/>
                <w:sz w:val="28"/>
                <w:szCs w:val="28"/>
              </w:rPr>
              <w:t>, врач терапевт</w:t>
            </w:r>
            <w:r w:rsidR="00255F44" w:rsidRPr="003F5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01E220" w14:textId="285C2B65" w:rsidR="007C7496" w:rsidRPr="003F5325" w:rsidRDefault="00EB6DFF" w:rsidP="003F532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7496" w:rsidRPr="003F5325">
              <w:rPr>
                <w:rFonts w:ascii="Times New Roman" w:hAnsi="Times New Roman" w:cs="Times New Roman"/>
                <w:sz w:val="28"/>
                <w:szCs w:val="28"/>
              </w:rPr>
              <w:t>вторски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е свидетельств</w:t>
            </w:r>
            <w:r w:rsidR="007C7496" w:rsidRPr="003F53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C6F7F67" w14:textId="7663A399" w:rsidR="00C511FB" w:rsidRPr="003F5325" w:rsidRDefault="009B4815" w:rsidP="003F5325">
            <w:pPr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4976" w:rsidRPr="003F5325">
              <w:rPr>
                <w:rFonts w:ascii="Times New Roman" w:hAnsi="Times New Roman" w:cs="Times New Roman"/>
                <w:sz w:val="28"/>
                <w:szCs w:val="28"/>
              </w:rPr>
              <w:t>Сборник контрольно-измерительных средств по специальности «Терапия» часть первая</w:t>
            </w:r>
            <w:r w:rsidR="00C511FB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511FB"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>№ 37808 05.06.2023</w:t>
            </w:r>
            <w:r w:rsidR="00C511FB" w:rsidRPr="003F53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B60345" w14:textId="2F7167A2" w:rsidR="00C511FB" w:rsidRPr="003F5325" w:rsidRDefault="009B4815" w:rsidP="003F5325">
            <w:pPr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="007E253E"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>Сборник тренировочных контрольно-измерительных средств по амбулаторно поликлинической терапии</w:t>
            </w:r>
            <w:r w:rsidR="00C511FB"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(№37813 от </w:t>
            </w:r>
            <w:proofErr w:type="gramStart"/>
            <w:r w:rsidR="00C511FB"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>05.06.2023 )</w:t>
            </w:r>
            <w:proofErr w:type="gramEnd"/>
          </w:p>
          <w:p w14:paraId="56AFC71C" w14:textId="77777777" w:rsidR="009B4815" w:rsidRPr="003F5325" w:rsidRDefault="009B4815" w:rsidP="003F5325">
            <w:pPr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511FB"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Устройство для определения ортостатической гипотензии, ортостатической тахикардии и </w:t>
            </w:r>
            <w:proofErr w:type="spellStart"/>
            <w:r w:rsidR="00C511FB"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>лодыжечно</w:t>
            </w:r>
            <w:proofErr w:type="spellEnd"/>
            <w:r w:rsidR="00C511FB" w:rsidRPr="003F5325">
              <w:rPr>
                <w:rFonts w:ascii="Times New Roman" w:hAnsi="Times New Roman" w:cs="Times New Roman"/>
                <w:bCs/>
                <w:sz w:val="28"/>
                <w:szCs w:val="28"/>
              </w:rPr>
              <w:t>-плечевого индекса (№42271 от 23.01.2024)</w:t>
            </w:r>
          </w:p>
          <w:p w14:paraId="7F64B07C" w14:textId="6AAB2B11" w:rsidR="009B4815" w:rsidRPr="003F5325" w:rsidRDefault="009B4815" w:rsidP="003F5325">
            <w:pPr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4. </w:t>
            </w:r>
            <w:r w:rsidR="00C94976" w:rsidRPr="003F5325">
              <w:rPr>
                <w:rFonts w:ascii="Times New Roman" w:hAnsi="Times New Roman" w:cs="Times New Roman"/>
                <w:sz w:val="28"/>
                <w:szCs w:val="28"/>
              </w:rPr>
              <w:t>Патент на изобр</w:t>
            </w:r>
            <w:r w:rsidR="00AE1953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етение №36563, опубликован № 4 от </w:t>
            </w:r>
            <w:r w:rsidR="00C94976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26.01.2024. «Способ лечения хронической сердечной недостаточности» </w:t>
            </w:r>
          </w:p>
          <w:p w14:paraId="0D0D7EDE" w14:textId="1215DF56" w:rsidR="009B4815" w:rsidRPr="003F5325" w:rsidRDefault="009B4815" w:rsidP="003F5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25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5. </w:t>
            </w: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клинических исследованиях:</w:t>
            </w:r>
          </w:p>
          <w:p w14:paraId="07443AEC" w14:textId="07DEA0B4" w:rsidR="00AE1953" w:rsidRPr="003F5325" w:rsidRDefault="009B4815" w:rsidP="003F5325">
            <w:pPr>
              <w:spacing w:after="0" w:line="240" w:lineRule="auto"/>
              <w:ind w:hanging="2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5325">
              <w:rPr>
                <w:rFonts w:ascii="Times New Roman" w:hAnsi="Times New Roman" w:cs="Times New Roman"/>
                <w:sz w:val="28"/>
                <w:szCs w:val="28"/>
              </w:rPr>
              <w:t>- регистр Европейской</w:t>
            </w:r>
            <w:r w:rsidR="00AE1953" w:rsidRPr="003F5325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терапевтов </w:t>
            </w:r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международного регистра АКТИВ-4 "Анализ динамики </w:t>
            </w:r>
            <w:proofErr w:type="spellStart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Коморбидных</w:t>
            </w:r>
            <w:proofErr w:type="spellEnd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заболеваний у </w:t>
            </w:r>
            <w:proofErr w:type="spellStart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пациенТов</w:t>
            </w:r>
            <w:proofErr w:type="spellEnd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перенесшИх</w:t>
            </w:r>
            <w:proofErr w:type="spellEnd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инфицироВание</w:t>
            </w:r>
            <w:proofErr w:type="spellEnd"/>
            <w:r w:rsidR="00AE1953" w:rsidRPr="003F532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SARS-CoV-2-4". </w:t>
            </w:r>
          </w:p>
          <w:p w14:paraId="0F588CBA" w14:textId="2666229D" w:rsidR="009B4815" w:rsidRPr="003F5325" w:rsidRDefault="009B4815" w:rsidP="003F532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Международный регистр </w:t>
            </w:r>
            <w:proofErr w:type="spellStart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iCaReMe</w:t>
            </w:r>
            <w:proofErr w:type="spellEnd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Многонациональный регистр определения тактики ведения и качества лечения пациентов с сахарным диабетом 2-го типа, артериальной гипертензией, сердечной недостаточностью и (или) хронической болезнью почек в условиях реальной клинической практики» (оригинальное название “</w:t>
            </w:r>
            <w:proofErr w:type="spellStart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iCaReMe</w:t>
            </w:r>
            <w:proofErr w:type="spellEnd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Global</w:t>
            </w:r>
            <w:proofErr w:type="spellEnd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Registry</w:t>
            </w:r>
            <w:proofErr w:type="spellEnd"/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F532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Real-world Multinational Registry to Determine Management and Quality of Care of Patients with Type 2 Diabetes, Hypertension, Heart Failure and/or Chronic Kidney Diseases”).</w:t>
            </w:r>
          </w:p>
        </w:tc>
      </w:tr>
    </w:tbl>
    <w:p w14:paraId="19329252" w14:textId="77777777" w:rsidR="00BB1C9C" w:rsidRPr="003F5325" w:rsidRDefault="00BB1C9C" w:rsidP="003F53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8E445E1" w14:textId="4898639E" w:rsidR="006E5C24" w:rsidRPr="003F5325" w:rsidRDefault="0054282F" w:rsidP="003F53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F5325">
        <w:rPr>
          <w:rFonts w:ascii="Times New Roman" w:hAnsi="Times New Roman" w:cs="Times New Roman"/>
          <w:b/>
          <w:bCs/>
          <w:sz w:val="28"/>
          <w:szCs w:val="28"/>
        </w:rPr>
        <w:t>Заведующий кафедрой внутренних болезней</w:t>
      </w:r>
      <w:r w:rsidR="00C74A95" w:rsidRPr="003F532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_________      </w:t>
      </w:r>
      <w:proofErr w:type="spellStart"/>
      <w:r w:rsidR="00D37992" w:rsidRPr="003F5325">
        <w:rPr>
          <w:rFonts w:ascii="Times New Roman" w:hAnsi="Times New Roman" w:cs="Times New Roman"/>
          <w:b/>
          <w:bCs/>
          <w:sz w:val="28"/>
          <w:szCs w:val="28"/>
        </w:rPr>
        <w:t>Сугралиев</w:t>
      </w:r>
      <w:proofErr w:type="spellEnd"/>
      <w:r w:rsidR="00D37992" w:rsidRPr="003F5325">
        <w:rPr>
          <w:rFonts w:ascii="Times New Roman" w:hAnsi="Times New Roman" w:cs="Times New Roman"/>
          <w:b/>
          <w:bCs/>
          <w:sz w:val="28"/>
          <w:szCs w:val="28"/>
        </w:rPr>
        <w:t xml:space="preserve"> А.Б.</w:t>
      </w:r>
    </w:p>
    <w:p w14:paraId="6859B695" w14:textId="77777777" w:rsidR="006E5C24" w:rsidRPr="003F5325" w:rsidRDefault="006E5C24" w:rsidP="003F53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1EA7A1" w14:textId="132A556B" w:rsidR="006E5C24" w:rsidRPr="003F5325" w:rsidRDefault="006E5C24" w:rsidP="003F53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F5325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Руководитель управления по учету персонала   ___</w:t>
      </w:r>
      <w:r w:rsidR="00C74A95" w:rsidRPr="003F5325">
        <w:rPr>
          <w:rFonts w:ascii="Times New Roman" w:hAnsi="Times New Roman" w:cs="Times New Roman"/>
          <w:b/>
          <w:bCs/>
          <w:sz w:val="28"/>
          <w:szCs w:val="28"/>
          <w:lang w:val="kk-KZ"/>
        </w:rPr>
        <w:t>_</w:t>
      </w:r>
      <w:r w:rsidRPr="003F53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     </w:t>
      </w:r>
      <w:r w:rsidR="00A90C0A" w:rsidRPr="003F53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F532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Сапакова М.М.</w:t>
      </w:r>
    </w:p>
    <w:sectPr w:rsidR="006E5C24" w:rsidRPr="003F5325" w:rsidSect="00C74A95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8007" w14:textId="77777777" w:rsidR="00633BFC" w:rsidRDefault="00633BFC">
      <w:pPr>
        <w:spacing w:line="240" w:lineRule="auto"/>
      </w:pPr>
      <w:r>
        <w:separator/>
      </w:r>
    </w:p>
  </w:endnote>
  <w:endnote w:type="continuationSeparator" w:id="0">
    <w:p w14:paraId="7659B8C5" w14:textId="77777777" w:rsidR="00633BFC" w:rsidRDefault="00633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D881" w14:textId="77777777" w:rsidR="00633BFC" w:rsidRDefault="00633BFC">
      <w:pPr>
        <w:spacing w:after="0"/>
      </w:pPr>
      <w:r>
        <w:separator/>
      </w:r>
    </w:p>
  </w:footnote>
  <w:footnote w:type="continuationSeparator" w:id="0">
    <w:p w14:paraId="52F9AE62" w14:textId="77777777" w:rsidR="00633BFC" w:rsidRDefault="00633B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514"/>
    </w:tblGrid>
    <w:tr w:rsidR="00C66DDF" w:rsidRPr="002A6CF2" w14:paraId="7CD83335" w14:textId="77777777" w:rsidTr="00C74A95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5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3"/>
        </w:tcPr>
        <w:p w14:paraId="7ACC6BAE" w14:textId="77777777" w:rsidR="00C66DDF" w:rsidRDefault="00C66DDF" w:rsidP="00C66DDF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C74A95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5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514" w:type="dxa"/>
        </w:tcPr>
        <w:p w14:paraId="43AF0DB9" w14:textId="77777777" w:rsidR="00C66DDF" w:rsidRPr="00400557" w:rsidRDefault="00C66DDF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C74A95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5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514" w:type="dxa"/>
        </w:tcPr>
        <w:p w14:paraId="7DD0E6BC" w14:textId="3EEA14C8" w:rsidR="00C66DDF" w:rsidRPr="00400557" w:rsidRDefault="00C66DDF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4D06AD" w:rsidRPr="004D06AD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3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4D06AD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3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5"/>
    </w:pPr>
  </w:p>
  <w:p w14:paraId="10BA030D" w14:textId="77777777" w:rsidR="00C66DDF" w:rsidRDefault="00C66D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AD5649"/>
    <w:multiLevelType w:val="hybridMultilevel"/>
    <w:tmpl w:val="048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2E06"/>
    <w:multiLevelType w:val="hybridMultilevel"/>
    <w:tmpl w:val="0FC2057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A824995"/>
    <w:multiLevelType w:val="hybridMultilevel"/>
    <w:tmpl w:val="D606393C"/>
    <w:lvl w:ilvl="0" w:tplc="2558F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5C1C"/>
    <w:multiLevelType w:val="multilevel"/>
    <w:tmpl w:val="AF8C28BA"/>
    <w:lvl w:ilvl="0">
      <w:numFmt w:val="bullet"/>
      <w:pStyle w:val="a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354253D1"/>
    <w:multiLevelType w:val="hybridMultilevel"/>
    <w:tmpl w:val="9B50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766CF"/>
    <w:multiLevelType w:val="hybridMultilevel"/>
    <w:tmpl w:val="1CD6B200"/>
    <w:lvl w:ilvl="0" w:tplc="3BC09D48">
      <w:start w:val="1"/>
      <w:numFmt w:val="decimal"/>
      <w:lvlText w:val="%1."/>
      <w:lvlJc w:val="left"/>
      <w:pPr>
        <w:ind w:left="720" w:hanging="360"/>
      </w:pPr>
      <w:rPr>
        <w:rFonts w:ascii="Times New Roman" w:eastAsia="sans-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D4B18"/>
    <w:multiLevelType w:val="multilevel"/>
    <w:tmpl w:val="4FBA1D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23"/>
    <w:rsid w:val="00004423"/>
    <w:rsid w:val="00030881"/>
    <w:rsid w:val="0004305C"/>
    <w:rsid w:val="00044A88"/>
    <w:rsid w:val="000455D0"/>
    <w:rsid w:val="0005160A"/>
    <w:rsid w:val="00063D78"/>
    <w:rsid w:val="00074E7D"/>
    <w:rsid w:val="000801FD"/>
    <w:rsid w:val="00090475"/>
    <w:rsid w:val="000A7128"/>
    <w:rsid w:val="000C2082"/>
    <w:rsid w:val="000F77C2"/>
    <w:rsid w:val="00103413"/>
    <w:rsid w:val="00124CBD"/>
    <w:rsid w:val="00127408"/>
    <w:rsid w:val="00167633"/>
    <w:rsid w:val="00193690"/>
    <w:rsid w:val="001B19EF"/>
    <w:rsid w:val="001D07A4"/>
    <w:rsid w:val="001D337A"/>
    <w:rsid w:val="001E5F80"/>
    <w:rsid w:val="001F4BE5"/>
    <w:rsid w:val="001F50A9"/>
    <w:rsid w:val="00211CF6"/>
    <w:rsid w:val="002248BB"/>
    <w:rsid w:val="00255F44"/>
    <w:rsid w:val="00286E61"/>
    <w:rsid w:val="002B5152"/>
    <w:rsid w:val="002D12F9"/>
    <w:rsid w:val="002D76B0"/>
    <w:rsid w:val="002F6C40"/>
    <w:rsid w:val="0031487F"/>
    <w:rsid w:val="003403CF"/>
    <w:rsid w:val="0034722C"/>
    <w:rsid w:val="0035168B"/>
    <w:rsid w:val="0035223D"/>
    <w:rsid w:val="00363E64"/>
    <w:rsid w:val="003958DF"/>
    <w:rsid w:val="003A0423"/>
    <w:rsid w:val="003A267B"/>
    <w:rsid w:val="003D6C10"/>
    <w:rsid w:val="003F5325"/>
    <w:rsid w:val="004250A3"/>
    <w:rsid w:val="00465AB7"/>
    <w:rsid w:val="004A02FC"/>
    <w:rsid w:val="004A5B43"/>
    <w:rsid w:val="004B08EA"/>
    <w:rsid w:val="004B5573"/>
    <w:rsid w:val="004D06AD"/>
    <w:rsid w:val="004D2ABC"/>
    <w:rsid w:val="0054282F"/>
    <w:rsid w:val="00566B24"/>
    <w:rsid w:val="005A3FFA"/>
    <w:rsid w:val="005D4FBD"/>
    <w:rsid w:val="00601FEA"/>
    <w:rsid w:val="0061521A"/>
    <w:rsid w:val="00615370"/>
    <w:rsid w:val="00631D47"/>
    <w:rsid w:val="00633BFC"/>
    <w:rsid w:val="0065153F"/>
    <w:rsid w:val="00690CF3"/>
    <w:rsid w:val="006D7971"/>
    <w:rsid w:val="006E2A68"/>
    <w:rsid w:val="006E30D8"/>
    <w:rsid w:val="006E5C24"/>
    <w:rsid w:val="007317DF"/>
    <w:rsid w:val="00737513"/>
    <w:rsid w:val="00787A35"/>
    <w:rsid w:val="007B7143"/>
    <w:rsid w:val="007C7496"/>
    <w:rsid w:val="007E253E"/>
    <w:rsid w:val="007E5B13"/>
    <w:rsid w:val="007F6004"/>
    <w:rsid w:val="0080244B"/>
    <w:rsid w:val="00816B23"/>
    <w:rsid w:val="00873BF2"/>
    <w:rsid w:val="00883CA8"/>
    <w:rsid w:val="00891A1B"/>
    <w:rsid w:val="008A2265"/>
    <w:rsid w:val="008F2583"/>
    <w:rsid w:val="008F43AB"/>
    <w:rsid w:val="008F62E2"/>
    <w:rsid w:val="00910220"/>
    <w:rsid w:val="0093459C"/>
    <w:rsid w:val="00960640"/>
    <w:rsid w:val="009A6941"/>
    <w:rsid w:val="009A6957"/>
    <w:rsid w:val="009B4815"/>
    <w:rsid w:val="009C69D8"/>
    <w:rsid w:val="00A02811"/>
    <w:rsid w:val="00A40421"/>
    <w:rsid w:val="00A4202A"/>
    <w:rsid w:val="00A51EAC"/>
    <w:rsid w:val="00A90C0A"/>
    <w:rsid w:val="00AB0221"/>
    <w:rsid w:val="00AC0AD5"/>
    <w:rsid w:val="00AD2DBA"/>
    <w:rsid w:val="00AE1953"/>
    <w:rsid w:val="00AE2A78"/>
    <w:rsid w:val="00AE677D"/>
    <w:rsid w:val="00B07626"/>
    <w:rsid w:val="00B14808"/>
    <w:rsid w:val="00B305DC"/>
    <w:rsid w:val="00B651B5"/>
    <w:rsid w:val="00B71873"/>
    <w:rsid w:val="00BA68D0"/>
    <w:rsid w:val="00BB1C9C"/>
    <w:rsid w:val="00BB2B45"/>
    <w:rsid w:val="00BD03B7"/>
    <w:rsid w:val="00BE4A96"/>
    <w:rsid w:val="00C02FC1"/>
    <w:rsid w:val="00C0606C"/>
    <w:rsid w:val="00C11515"/>
    <w:rsid w:val="00C2335D"/>
    <w:rsid w:val="00C306C6"/>
    <w:rsid w:val="00C41970"/>
    <w:rsid w:val="00C511FB"/>
    <w:rsid w:val="00C66DDF"/>
    <w:rsid w:val="00C74A95"/>
    <w:rsid w:val="00C76955"/>
    <w:rsid w:val="00C85D5D"/>
    <w:rsid w:val="00C94976"/>
    <w:rsid w:val="00CA6E14"/>
    <w:rsid w:val="00D17C2E"/>
    <w:rsid w:val="00D26C03"/>
    <w:rsid w:val="00D30E87"/>
    <w:rsid w:val="00D37992"/>
    <w:rsid w:val="00D440D4"/>
    <w:rsid w:val="00D60DBC"/>
    <w:rsid w:val="00D933B2"/>
    <w:rsid w:val="00DB6E49"/>
    <w:rsid w:val="00DC503F"/>
    <w:rsid w:val="00DE088A"/>
    <w:rsid w:val="00E362FC"/>
    <w:rsid w:val="00E47E59"/>
    <w:rsid w:val="00E553E9"/>
    <w:rsid w:val="00E80005"/>
    <w:rsid w:val="00E81604"/>
    <w:rsid w:val="00E97DFC"/>
    <w:rsid w:val="00EB485E"/>
    <w:rsid w:val="00EB6DFF"/>
    <w:rsid w:val="00EB7FCB"/>
    <w:rsid w:val="00ED48EB"/>
    <w:rsid w:val="00ED7BF7"/>
    <w:rsid w:val="00F3005E"/>
    <w:rsid w:val="00F725C4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F92624F8-D5E8-4D41-AA60-FF71CB4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6B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0"/>
    <w:link w:val="a8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2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99"/>
    <w:unhideWhenUsed/>
    <w:rsid w:val="004B08EA"/>
    <w:pPr>
      <w:ind w:left="720"/>
      <w:contextualSpacing/>
    </w:pPr>
  </w:style>
  <w:style w:type="paragraph" w:styleId="ab">
    <w:name w:val="Balloon Text"/>
    <w:basedOn w:val="a0"/>
    <w:link w:val="ac"/>
    <w:rsid w:val="00B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B718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">
    <w:name w:val="Заголовок 4 Знак"/>
    <w:rsid w:val="00C94976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">
    <w:name w:val="List Number"/>
    <w:basedOn w:val="a0"/>
    <w:uiPriority w:val="99"/>
    <w:rsid w:val="00C94976"/>
    <w:pPr>
      <w:numPr>
        <w:numId w:val="6"/>
      </w:num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Default">
    <w:name w:val="Default"/>
    <w:rsid w:val="009B48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9">
    <w:name w:val="Заголовок 9 Знак"/>
    <w:uiPriority w:val="99"/>
    <w:rsid w:val="00AE1953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fontstyle01">
    <w:name w:val="fontstyle01"/>
    <w:rsid w:val="00AE1953"/>
    <w:rPr>
      <w:rFonts w:ascii="PragmaticaC" w:hAnsi="PragmaticaC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Farida.e</cp:lastModifiedBy>
  <cp:revision>29</cp:revision>
  <cp:lastPrinted>2025-07-04T02:13:00Z</cp:lastPrinted>
  <dcterms:created xsi:type="dcterms:W3CDTF">2025-06-01T04:09:00Z</dcterms:created>
  <dcterms:modified xsi:type="dcterms:W3CDTF">2025-07-04T02:15:00Z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