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7045" w14:textId="112724B0" w:rsidR="002162CE" w:rsidRPr="00213CCC" w:rsidRDefault="00213CCC" w:rsidP="00424BEF">
      <w:pPr>
        <w:jc w:val="center"/>
        <w:rPr>
          <w:b/>
          <w:bCs/>
          <w:lang w:val="en-US"/>
        </w:rPr>
      </w:pPr>
      <w:r w:rsidRPr="00213CCC">
        <w:rPr>
          <w:b/>
          <w:bCs/>
          <w:lang w:val="en-US"/>
        </w:rPr>
        <w:t>«</w:t>
      </w:r>
      <w:r w:rsidR="00424BEF" w:rsidRPr="00304127">
        <w:rPr>
          <w:b/>
          <w:bCs/>
          <w:lang w:val="en-US"/>
        </w:rPr>
        <w:t>Emergency care for convulsive syndrome</w:t>
      </w:r>
      <w:r w:rsidRPr="00213CCC">
        <w:rPr>
          <w:b/>
          <w:bCs/>
          <w:lang w:val="en-US"/>
        </w:rPr>
        <w:t>»</w:t>
      </w:r>
    </w:p>
    <w:p w14:paraId="3BB2095E" w14:textId="77777777" w:rsidR="00424BEF" w:rsidRPr="00304127" w:rsidRDefault="00424BEF" w:rsidP="00424BEF">
      <w:pPr>
        <w:jc w:val="center"/>
        <w:rPr>
          <w:b/>
          <w:bCs/>
          <w:lang w:val="en-US"/>
        </w:rPr>
      </w:pPr>
    </w:p>
    <w:tbl>
      <w:tblPr>
        <w:tblStyle w:val="afb"/>
        <w:tblW w:w="10201" w:type="dxa"/>
        <w:tblLook w:val="04A0" w:firstRow="1" w:lastRow="0" w:firstColumn="1" w:lastColumn="0" w:noHBand="0" w:noVBand="1"/>
      </w:tblPr>
      <w:tblGrid>
        <w:gridCol w:w="570"/>
        <w:gridCol w:w="2686"/>
        <w:gridCol w:w="6945"/>
      </w:tblGrid>
      <w:tr w:rsidR="008B2CFB" w14:paraId="1AD37785" w14:textId="77777777" w:rsidTr="008B2CFB">
        <w:tc>
          <w:tcPr>
            <w:tcW w:w="570" w:type="dxa"/>
          </w:tcPr>
          <w:p w14:paraId="76074139" w14:textId="680EDF06" w:rsidR="008B2CFB" w:rsidRPr="008B2CFB" w:rsidRDefault="008B2CFB" w:rsidP="008B2CF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</w:t>
            </w:r>
          </w:p>
        </w:tc>
        <w:tc>
          <w:tcPr>
            <w:tcW w:w="2686" w:type="dxa"/>
          </w:tcPr>
          <w:p w14:paraId="519C5B1C" w14:textId="1FEB9EBC" w:rsidR="008B2CFB" w:rsidRDefault="008B2CFB" w:rsidP="008B2C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6945" w:type="dxa"/>
            <w:hideMark/>
          </w:tcPr>
          <w:p w14:paraId="792BA7DB" w14:textId="05ACCF60" w:rsidR="008B2CFB" w:rsidRDefault="008B2CFB" w:rsidP="008B2C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Algorithm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actions</w:t>
            </w:r>
            <w:proofErr w:type="spellEnd"/>
          </w:p>
        </w:tc>
      </w:tr>
      <w:tr w:rsidR="008B2CFB" w:rsidRPr="000F239A" w14:paraId="15E87F1C" w14:textId="77777777" w:rsidTr="008B2CFB">
        <w:tc>
          <w:tcPr>
            <w:tcW w:w="570" w:type="dxa"/>
          </w:tcPr>
          <w:p w14:paraId="2614B6AC" w14:textId="5A32246C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86" w:type="dxa"/>
          </w:tcPr>
          <w:p w14:paraId="5F079EA0" w14:textId="5B4863C5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Assessment of the situation and initial data collection</w:t>
            </w:r>
          </w:p>
        </w:tc>
        <w:tc>
          <w:tcPr>
            <w:tcW w:w="6945" w:type="dxa"/>
            <w:hideMark/>
          </w:tcPr>
          <w:p w14:paraId="463C6481" w14:textId="766014B7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Quickly assess the scene and crew safety. Ask eyewitnesses: time of seizure onset, nature (generalized/focal), presence of prior loss of consciousness, trauma, medication use, alcohol/drug use, pregnancy.</w:t>
            </w:r>
          </w:p>
        </w:tc>
      </w:tr>
      <w:tr w:rsidR="008B2CFB" w:rsidRPr="000F239A" w14:paraId="75E15F61" w14:textId="77777777" w:rsidTr="008B2CFB">
        <w:tc>
          <w:tcPr>
            <w:tcW w:w="570" w:type="dxa"/>
          </w:tcPr>
          <w:p w14:paraId="2BFB84ED" w14:textId="50AC301B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86" w:type="dxa"/>
          </w:tcPr>
          <w:p w14:paraId="0D9C895F" w14:textId="66843255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Protecting the patient from injury; positioning</w:t>
            </w:r>
          </w:p>
        </w:tc>
        <w:tc>
          <w:tcPr>
            <w:tcW w:w="6945" w:type="dxa"/>
            <w:hideMark/>
          </w:tcPr>
          <w:p w14:paraId="0CFA3574" w14:textId="425D3A90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Lay the patient on a flat surface, turn them to the side (safety position) if there are no contraindications for spinal injury; place a soft (non-rigid) pad under the head; remove sharp/hard objects; do not insert objects into the mouth; do not forcibly restrict movement; immobilize only if there is a real risk of injury with forceful fixation and soft bandages.</w:t>
            </w:r>
          </w:p>
        </w:tc>
      </w:tr>
      <w:tr w:rsidR="008B2CFB" w:rsidRPr="000F239A" w14:paraId="7D5CE447" w14:textId="77777777" w:rsidTr="008B2CFB">
        <w:tc>
          <w:tcPr>
            <w:tcW w:w="570" w:type="dxa"/>
          </w:tcPr>
          <w:p w14:paraId="59A84D99" w14:textId="78BE52B9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86" w:type="dxa"/>
          </w:tcPr>
          <w:p w14:paraId="6C3FD70B" w14:textId="003EE9C8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Quick ABC assessment and monitoring connection</w:t>
            </w:r>
          </w:p>
        </w:tc>
        <w:tc>
          <w:tcPr>
            <w:tcW w:w="6945" w:type="dxa"/>
            <w:hideMark/>
          </w:tcPr>
          <w:p w14:paraId="5CC49A36" w14:textId="494EB9EF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Assess airway patency, presence of breathing, pulse; connect a pulse oximeter and ECG monitor (if possible); measure blood pressure; if vomiting/secretions are present, suction; immediately begin oxygen therapy if necessary.</w:t>
            </w:r>
          </w:p>
        </w:tc>
      </w:tr>
      <w:tr w:rsidR="008B2CFB" w:rsidRPr="000F239A" w14:paraId="746A670F" w14:textId="77777777" w:rsidTr="008B2CFB">
        <w:tc>
          <w:tcPr>
            <w:tcW w:w="570" w:type="dxa"/>
          </w:tcPr>
          <w:p w14:paraId="614D2DC4" w14:textId="38787805" w:rsidR="008B2CFB" w:rsidRPr="008B2CFB" w:rsidRDefault="008B2CFB" w:rsidP="008B2CFB">
            <w:pPr>
              <w:jc w:val="center"/>
              <w:rPr>
                <w:rStyle w:val="afe"/>
                <w:b w:val="0"/>
                <w:bCs w:val="0"/>
                <w:lang w:val="en-US"/>
              </w:rPr>
            </w:pPr>
            <w:r w:rsidRPr="008B2CFB">
              <w:rPr>
                <w:rStyle w:val="afe"/>
                <w:b w:val="0"/>
                <w:bCs w:val="0"/>
                <w:lang w:val="en-US"/>
              </w:rPr>
              <w:t>4</w:t>
            </w:r>
          </w:p>
        </w:tc>
        <w:tc>
          <w:tcPr>
            <w:tcW w:w="2686" w:type="dxa"/>
          </w:tcPr>
          <w:p w14:paraId="24501A00" w14:textId="0E9EC987" w:rsidR="008B2CFB" w:rsidRPr="00AB24F3" w:rsidRDefault="008B2CFB" w:rsidP="00B81DD1">
            <w:pPr>
              <w:jc w:val="both"/>
              <w:rPr>
                <w:rStyle w:val="afe"/>
                <w:lang w:val="en-US"/>
              </w:rPr>
            </w:pPr>
            <w:r w:rsidRPr="00304127">
              <w:rPr>
                <w:lang w:val="en-US"/>
              </w:rPr>
              <w:t>Direct anticonvulsant therapy - benzodiazepine stage</w:t>
            </w:r>
          </w:p>
        </w:tc>
        <w:tc>
          <w:tcPr>
            <w:tcW w:w="6945" w:type="dxa"/>
            <w:hideMark/>
          </w:tcPr>
          <w:p w14:paraId="1202119D" w14:textId="1FF9F967" w:rsidR="008B2CFB" w:rsidRPr="00AB24F3" w:rsidRDefault="008B2CFB" w:rsidP="00B81DD1">
            <w:pPr>
              <w:jc w:val="both"/>
              <w:rPr>
                <w:lang w:val="en-US"/>
              </w:rPr>
            </w:pPr>
            <w:r w:rsidRPr="00AB24F3">
              <w:rPr>
                <w:rStyle w:val="afe"/>
                <w:lang w:val="en-US"/>
              </w:rPr>
              <w:t>Indication:</w:t>
            </w:r>
            <w:r>
              <w:rPr>
                <w:rStyle w:val="afe"/>
                <w:lang w:val="en-US"/>
              </w:rPr>
              <w:t xml:space="preserve"> </w:t>
            </w:r>
            <w:r w:rsidRPr="00AB24F3">
              <w:rPr>
                <w:lang w:val="en-US"/>
              </w:rPr>
              <w:t xml:space="preserve">seizure activity &gt;5 minutes or recurrent seizures without recovery of consciousness.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If IV access is available:</w:t>
            </w:r>
            <w:r w:rsidRPr="00AB24F3">
              <w:rPr>
                <w:lang w:val="en-US"/>
              </w:rPr>
              <w:t xml:space="preserve"> lorazepam 4 mg IV slowly (administer over 2–4 min); if there is no effect after 5–10 min, one dose may be repeated.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Alternatives if IV access is not available:</w:t>
            </w:r>
            <w:r w:rsidRPr="00AB24F3">
              <w:rPr>
                <w:lang w:val="en-US"/>
              </w:rPr>
              <w:t xml:space="preserve"> midazolam 0.2 mg/kg IM (max ~10 mg). </w:t>
            </w:r>
            <w:r w:rsidR="005E2773">
              <w:rPr>
                <w:lang w:val="en-US"/>
              </w:rPr>
              <w:br/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Diazepam:</w:t>
            </w:r>
            <w:r w:rsidRPr="00AB24F3">
              <w:rPr>
                <w:lang w:val="en-US"/>
              </w:rPr>
              <w:t xml:space="preserve"> 0.15–0.2 mg/kg IV (up to 10 mg) or rectally if IV access is not available.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Precautions:</w:t>
            </w:r>
            <w:r w:rsidRPr="00AB24F3">
              <w:rPr>
                <w:lang w:val="en-US"/>
              </w:rPr>
              <w:t xml:space="preserve"> monitor respiration and oxygen saturation after administration (risk of respiratory depression).</w:t>
            </w:r>
          </w:p>
        </w:tc>
      </w:tr>
      <w:tr w:rsidR="008B2CFB" w:rsidRPr="000F239A" w14:paraId="1E4EB7F2" w14:textId="77777777" w:rsidTr="008B2CFB">
        <w:tc>
          <w:tcPr>
            <w:tcW w:w="570" w:type="dxa"/>
          </w:tcPr>
          <w:p w14:paraId="3130BBB8" w14:textId="00A1388E" w:rsidR="008B2CFB" w:rsidRPr="00AB24F3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86" w:type="dxa"/>
          </w:tcPr>
          <w:p w14:paraId="61BCF8F1" w14:textId="5880A476" w:rsidR="008B2CFB" w:rsidRPr="00AB24F3" w:rsidRDefault="008B2CFB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>Supportive therapy - stabilization of vital functions</w:t>
            </w:r>
          </w:p>
        </w:tc>
        <w:tc>
          <w:tcPr>
            <w:tcW w:w="6945" w:type="dxa"/>
            <w:hideMark/>
          </w:tcPr>
          <w:p w14:paraId="7FE20E62" w14:textId="5B645639" w:rsidR="008B2CFB" w:rsidRPr="00AB24F3" w:rsidRDefault="008B2CFB" w:rsidP="00B81DD1">
            <w:pPr>
              <w:jc w:val="both"/>
              <w:rPr>
                <w:lang w:val="en-US"/>
              </w:rPr>
            </w:pPr>
            <w:r w:rsidRPr="00AB24F3">
              <w:rPr>
                <w:lang w:val="en-US"/>
              </w:rPr>
              <w:t xml:space="preserve">Ensure oxygenation (pulse oximetry), if </w:t>
            </w:r>
            <w:proofErr w:type="spellStart"/>
            <w:r w:rsidRPr="00AB24F3">
              <w:rPr>
                <w:lang w:val="en-US"/>
              </w:rPr>
              <w:t>SpO</w:t>
            </w:r>
            <w:proofErr w:type="spellEnd"/>
            <w:r w:rsidRPr="00AB24F3">
              <w:rPr>
                <w:lang w:val="en-US"/>
              </w:rPr>
              <w:t xml:space="preserve">₂ is low - oxygen via mask/nebulizer;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Hypoglycemia:</w:t>
            </w:r>
            <w:r w:rsidRPr="00AB24F3">
              <w:rPr>
                <w:lang w:val="en-US"/>
              </w:rPr>
              <w:t xml:space="preserve"> Determine capillary glucose immediately; in case of hypoglycemia - IV bolus of 50% dextrose 20-50 ml (10-25 g) or equivalent amount of 25-50 ml of 50% solution; repeat and maintain glucose as needed.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Access:</w:t>
            </w:r>
            <w:r w:rsidRPr="00AB24F3">
              <w:rPr>
                <w:lang w:val="en-US"/>
              </w:rPr>
              <w:t xml:space="preserve"> Ensure IV access as soon as possible;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Infusion therapy:</w:t>
            </w:r>
            <w:r w:rsidRPr="00AB24F3">
              <w:rPr>
                <w:lang w:val="en-US"/>
              </w:rPr>
              <w:t xml:space="preserve"> in case of hypotension - crystalloids (500-1000 ml), in case of refractory hypotension - vasopressors as indicated. </w:t>
            </w:r>
            <w:r w:rsidRPr="008B2CFB">
              <w:rPr>
                <w:b/>
                <w:bCs/>
                <w:lang w:val="en-US"/>
              </w:rPr>
              <w:t>Antidotes:</w:t>
            </w:r>
            <w:r w:rsidRPr="00AB24F3">
              <w:rPr>
                <w:lang w:val="en-US"/>
              </w:rPr>
              <w:t xml:space="preserve"> if opioid intoxication is suspected - naloxone according to protocol; </w:t>
            </w:r>
            <w:r w:rsidR="005E2773">
              <w:rPr>
                <w:lang w:val="en-US"/>
              </w:rPr>
              <w:br/>
            </w:r>
            <w:r w:rsidRPr="008B2CFB">
              <w:rPr>
                <w:b/>
                <w:bCs/>
                <w:lang w:val="en-US"/>
              </w:rPr>
              <w:t>Monitoring:</w:t>
            </w:r>
            <w:r w:rsidRPr="00AB24F3">
              <w:rPr>
                <w:lang w:val="en-US"/>
              </w:rPr>
              <w:t xml:space="preserve"> Continuous monitoring of vital functions until stabilization.</w:t>
            </w:r>
          </w:p>
        </w:tc>
      </w:tr>
      <w:tr w:rsidR="008B2CFB" w:rsidRPr="000F239A" w14:paraId="40EBB1C3" w14:textId="77777777" w:rsidTr="008B2CFB">
        <w:tc>
          <w:tcPr>
            <w:tcW w:w="570" w:type="dxa"/>
          </w:tcPr>
          <w:p w14:paraId="17751725" w14:textId="45035200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86" w:type="dxa"/>
          </w:tcPr>
          <w:p w14:paraId="0B6A8575" w14:textId="2A3A5330" w:rsidR="008B2CFB" w:rsidRPr="00304127" w:rsidRDefault="008B2CFB" w:rsidP="00B81DD1">
            <w:pPr>
              <w:jc w:val="both"/>
              <w:rPr>
                <w:lang w:val="en-US"/>
              </w:rPr>
            </w:pPr>
            <w:proofErr w:type="spellStart"/>
            <w:r>
              <w:t>Observation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neurological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</w:p>
        </w:tc>
        <w:tc>
          <w:tcPr>
            <w:tcW w:w="6945" w:type="dxa"/>
            <w:hideMark/>
          </w:tcPr>
          <w:p w14:paraId="2370E6E5" w14:textId="7E648E1E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Record the time of end of convulsions;</w:t>
            </w:r>
            <w:r>
              <w:rPr>
                <w:lang w:val="en-US"/>
              </w:rPr>
              <w:t xml:space="preserve"> </w:t>
            </w:r>
            <w:r w:rsidRPr="00304127">
              <w:rPr>
                <w:lang w:val="en-US"/>
              </w:rPr>
              <w:t>when consciousness is restored, move the patient to a lateral position and monitor breathing;</w:t>
            </w:r>
          </w:p>
          <w:p w14:paraId="3D56AB05" w14:textId="77777777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perform a neurological examination (limited Glasgow scale, focal symptoms);</w:t>
            </w:r>
          </w:p>
        </w:tc>
      </w:tr>
      <w:tr w:rsidR="008B2CFB" w:rsidRPr="000F239A" w14:paraId="2616443B" w14:textId="77777777" w:rsidTr="008B2CFB">
        <w:tc>
          <w:tcPr>
            <w:tcW w:w="570" w:type="dxa"/>
          </w:tcPr>
          <w:p w14:paraId="2E4A42E3" w14:textId="2B6DA304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86" w:type="dxa"/>
          </w:tcPr>
          <w:p w14:paraId="486163BE" w14:textId="7600EAAB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Observation after the attack has been stopped and documentation</w:t>
            </w:r>
          </w:p>
        </w:tc>
        <w:tc>
          <w:tcPr>
            <w:tcW w:w="6945" w:type="dxa"/>
          </w:tcPr>
          <w:p w14:paraId="424682D7" w14:textId="108E911B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Document observation data (start/end time, drugs administered – dose/time, response to therapy). Observation should last at least several hours, depending on the cause and drugs administered.</w:t>
            </w:r>
          </w:p>
        </w:tc>
      </w:tr>
      <w:tr w:rsidR="008B2CFB" w:rsidRPr="000F239A" w14:paraId="1CB38272" w14:textId="77777777" w:rsidTr="008B2CFB">
        <w:tc>
          <w:tcPr>
            <w:tcW w:w="570" w:type="dxa"/>
          </w:tcPr>
          <w:p w14:paraId="55D3B6C6" w14:textId="2813A234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86" w:type="dxa"/>
          </w:tcPr>
          <w:p w14:paraId="33604FA8" w14:textId="42907A76" w:rsidR="008B2CFB" w:rsidRPr="00304127" w:rsidRDefault="008B2CFB" w:rsidP="00B81DD1">
            <w:pPr>
              <w:jc w:val="both"/>
              <w:rPr>
                <w:lang w:val="en-US"/>
              </w:rPr>
            </w:pPr>
            <w:r>
              <w:t xml:space="preserve">Call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ambulance</w:t>
            </w:r>
            <w:proofErr w:type="spellEnd"/>
          </w:p>
        </w:tc>
        <w:tc>
          <w:tcPr>
            <w:tcW w:w="6945" w:type="dxa"/>
          </w:tcPr>
          <w:p w14:paraId="38A13D25" w14:textId="5B3C4CEF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If benzodiazepine therapy is ineffective and status epilepticus persists, call an ambulance.</w:t>
            </w:r>
          </w:p>
        </w:tc>
      </w:tr>
      <w:tr w:rsidR="008B2CFB" w:rsidRPr="000F239A" w14:paraId="4915C2F8" w14:textId="77777777" w:rsidTr="008B2CFB">
        <w:tc>
          <w:tcPr>
            <w:tcW w:w="570" w:type="dxa"/>
          </w:tcPr>
          <w:p w14:paraId="44A4C638" w14:textId="14425EE3" w:rsidR="008B2CFB" w:rsidRPr="00304127" w:rsidRDefault="008B2CFB" w:rsidP="008B2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686" w:type="dxa"/>
          </w:tcPr>
          <w:p w14:paraId="7C6F2D3A" w14:textId="763EE235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Instrumental and laboratory studies - urgent diagnosis of causes</w:t>
            </w:r>
          </w:p>
        </w:tc>
        <w:tc>
          <w:tcPr>
            <w:tcW w:w="6945" w:type="dxa"/>
            <w:hideMark/>
          </w:tcPr>
          <w:p w14:paraId="6F1D10AE" w14:textId="00D02648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lang w:val="en-US"/>
              </w:rPr>
              <w:t>In case of a first-ever seizure or if a structural cause is suspected - urgent CT of the head; in case of persistent seizures OR if infection is suspected - lumbar puncture as indicated; mandatory: glucose, electrolytes, Ca, Mg, creatinine, liver function tests, antiepileptic drug levels (if applicable), toxicology, ECG; if N</w:t>
            </w:r>
            <w:r w:rsidR="00DD2C82">
              <w:rPr>
                <w:lang w:val="kk-KZ"/>
              </w:rPr>
              <w:t>С</w:t>
            </w:r>
            <w:r w:rsidRPr="00304127">
              <w:rPr>
                <w:lang w:val="en-US"/>
              </w:rPr>
              <w:t>SE is suspected - call/connect EEG (or express 8-channel recording).</w:t>
            </w:r>
          </w:p>
        </w:tc>
      </w:tr>
      <w:tr w:rsidR="008B2CFB" w:rsidRPr="000F239A" w14:paraId="0E1CA8A8" w14:textId="77777777" w:rsidTr="008B2CFB">
        <w:tc>
          <w:tcPr>
            <w:tcW w:w="570" w:type="dxa"/>
          </w:tcPr>
          <w:p w14:paraId="606FC305" w14:textId="7739512A" w:rsidR="008B2CFB" w:rsidRPr="008B2CFB" w:rsidRDefault="008B2CFB" w:rsidP="008B2CFB">
            <w:pPr>
              <w:jc w:val="center"/>
              <w:rPr>
                <w:rStyle w:val="afe"/>
                <w:b w:val="0"/>
                <w:bCs w:val="0"/>
                <w:lang w:val="en-US"/>
              </w:rPr>
            </w:pPr>
            <w:r w:rsidRPr="008B2CFB">
              <w:rPr>
                <w:rStyle w:val="afe"/>
                <w:b w:val="0"/>
                <w:bCs w:val="0"/>
                <w:lang w:val="en-US"/>
              </w:rPr>
              <w:t>1</w:t>
            </w:r>
            <w:r w:rsidRPr="008B2CFB">
              <w:rPr>
                <w:rStyle w:val="afe"/>
                <w:b w:val="0"/>
                <w:bCs w:val="0"/>
              </w:rPr>
              <w:t>0</w:t>
            </w:r>
          </w:p>
        </w:tc>
        <w:tc>
          <w:tcPr>
            <w:tcW w:w="2686" w:type="dxa"/>
          </w:tcPr>
          <w:p w14:paraId="040159C5" w14:textId="2146A0A0" w:rsidR="008B2CFB" w:rsidRPr="00304127" w:rsidRDefault="008B2CFB" w:rsidP="00B81DD1">
            <w:pPr>
              <w:jc w:val="both"/>
              <w:rPr>
                <w:rStyle w:val="afe"/>
                <w:lang w:val="en-US"/>
              </w:rPr>
            </w:pPr>
            <w:r w:rsidRPr="00304127">
              <w:rPr>
                <w:lang w:val="en-US"/>
              </w:rPr>
              <w:t>Transport, transmission and simulation debriefing</w:t>
            </w:r>
          </w:p>
        </w:tc>
        <w:tc>
          <w:tcPr>
            <w:tcW w:w="6945" w:type="dxa"/>
            <w:hideMark/>
          </w:tcPr>
          <w:p w14:paraId="19EC0230" w14:textId="6D5FC67A" w:rsidR="008B2CFB" w:rsidRPr="00304127" w:rsidRDefault="008B2CFB" w:rsidP="00B81DD1">
            <w:pPr>
              <w:jc w:val="both"/>
              <w:rPr>
                <w:lang w:val="en-US"/>
              </w:rPr>
            </w:pPr>
            <w:r w:rsidRPr="00304127">
              <w:rPr>
                <w:rStyle w:val="afe"/>
                <w:lang w:val="en-US"/>
              </w:rPr>
              <w:t>Transport:</w:t>
            </w:r>
            <w:r>
              <w:rPr>
                <w:rStyle w:val="afe"/>
                <w:lang w:val="en-US"/>
              </w:rPr>
              <w:t xml:space="preserve"> </w:t>
            </w:r>
            <w:r w:rsidRPr="00304127">
              <w:rPr>
                <w:lang w:val="en-US"/>
              </w:rPr>
              <w:t xml:space="preserve">Call an ambulance if there are signs of status morbidity, respiratory failure, first-ever generalized seizures, injuries, or questionable conditions. Hospitalization should be in the neurology/intensive care unit. </w:t>
            </w:r>
            <w:r w:rsidRPr="00DD2C82">
              <w:rPr>
                <w:b/>
                <w:bCs/>
                <w:lang w:val="en-US"/>
              </w:rPr>
              <w:t>Referral:</w:t>
            </w:r>
            <w:r w:rsidRPr="00304127">
              <w:rPr>
                <w:lang w:val="en-US"/>
              </w:rPr>
              <w:t xml:space="preserve"> The referral should contain a brief summary - time of onset, medications and dosages, response to therapy, vital signs, and rapid lab results.</w:t>
            </w:r>
          </w:p>
        </w:tc>
      </w:tr>
    </w:tbl>
    <w:p w14:paraId="7C7EF7DD" w14:textId="77777777" w:rsidR="00424BEF" w:rsidRPr="00304127" w:rsidRDefault="00424BEF" w:rsidP="00424BEF">
      <w:pPr>
        <w:rPr>
          <w:lang w:val="en-US"/>
        </w:rPr>
      </w:pPr>
    </w:p>
    <w:p w14:paraId="2DF7DA63" w14:textId="78AC8342" w:rsidR="00E33ABD" w:rsidRDefault="00E33ABD" w:rsidP="00424BEF">
      <w:pPr>
        <w:rPr>
          <w:lang w:val="en-US"/>
        </w:rPr>
      </w:pPr>
    </w:p>
    <w:p w14:paraId="0D346C92" w14:textId="2F35DE9A" w:rsidR="005E2773" w:rsidRDefault="005E2773" w:rsidP="00424BEF">
      <w:pPr>
        <w:rPr>
          <w:lang w:val="en-US"/>
        </w:rPr>
      </w:pPr>
    </w:p>
    <w:p w14:paraId="40A99150" w14:textId="44387BF6" w:rsidR="005E2773" w:rsidRDefault="005E2773" w:rsidP="00424BEF">
      <w:pPr>
        <w:rPr>
          <w:lang w:val="en-US"/>
        </w:rPr>
      </w:pPr>
    </w:p>
    <w:p w14:paraId="45F8544C" w14:textId="62C6CFD5" w:rsidR="005E2773" w:rsidRDefault="005E2773" w:rsidP="00424BEF">
      <w:pPr>
        <w:rPr>
          <w:lang w:val="en-US"/>
        </w:rPr>
      </w:pPr>
    </w:p>
    <w:p w14:paraId="0020119F" w14:textId="6950C22C" w:rsidR="005E2773" w:rsidRDefault="005E2773" w:rsidP="00424BEF">
      <w:pPr>
        <w:rPr>
          <w:lang w:val="en-US"/>
        </w:rPr>
      </w:pPr>
    </w:p>
    <w:p w14:paraId="5A3601C7" w14:textId="64EF17D1" w:rsidR="005E2773" w:rsidRDefault="005E2773" w:rsidP="00424BEF">
      <w:pPr>
        <w:rPr>
          <w:lang w:val="en-US"/>
        </w:rPr>
      </w:pPr>
    </w:p>
    <w:p w14:paraId="437195AD" w14:textId="7787E523" w:rsidR="005E2773" w:rsidRDefault="005E2773" w:rsidP="00424BEF">
      <w:pPr>
        <w:rPr>
          <w:lang w:val="en-US"/>
        </w:rPr>
      </w:pPr>
    </w:p>
    <w:p w14:paraId="336E6102" w14:textId="2C8C55C8" w:rsidR="005E2773" w:rsidRDefault="005E2773" w:rsidP="00424BEF">
      <w:pPr>
        <w:rPr>
          <w:lang w:val="en-US"/>
        </w:rPr>
      </w:pPr>
    </w:p>
    <w:p w14:paraId="1EC39B25" w14:textId="5123AAD7" w:rsidR="005E2773" w:rsidRDefault="005E2773" w:rsidP="00424BEF">
      <w:pPr>
        <w:rPr>
          <w:lang w:val="en-US"/>
        </w:rPr>
      </w:pPr>
    </w:p>
    <w:p w14:paraId="605DD01F" w14:textId="0A06232F" w:rsidR="005E2773" w:rsidRDefault="005E2773" w:rsidP="00424BEF">
      <w:pPr>
        <w:rPr>
          <w:lang w:val="en-US"/>
        </w:rPr>
      </w:pPr>
    </w:p>
    <w:p w14:paraId="28808776" w14:textId="65D974FC" w:rsidR="005E2773" w:rsidRDefault="005E2773" w:rsidP="00424BEF">
      <w:pPr>
        <w:rPr>
          <w:lang w:val="en-US"/>
        </w:rPr>
      </w:pPr>
    </w:p>
    <w:p w14:paraId="6269CD73" w14:textId="0FFB8FD2" w:rsidR="005E2773" w:rsidRDefault="005E2773" w:rsidP="00424BEF">
      <w:pPr>
        <w:rPr>
          <w:lang w:val="en-US"/>
        </w:rPr>
      </w:pPr>
    </w:p>
    <w:p w14:paraId="40C91300" w14:textId="7CEACB2D" w:rsidR="005E2773" w:rsidRDefault="005E2773" w:rsidP="00424BEF">
      <w:pPr>
        <w:rPr>
          <w:lang w:val="en-US"/>
        </w:rPr>
      </w:pPr>
    </w:p>
    <w:p w14:paraId="568177EE" w14:textId="3FE2C598" w:rsidR="005E2773" w:rsidRDefault="005E2773" w:rsidP="00424BEF">
      <w:pPr>
        <w:rPr>
          <w:lang w:val="en-US"/>
        </w:rPr>
      </w:pPr>
    </w:p>
    <w:p w14:paraId="79C333C7" w14:textId="50A65825" w:rsidR="005E2773" w:rsidRDefault="005E2773" w:rsidP="00424BEF">
      <w:pPr>
        <w:rPr>
          <w:lang w:val="en-US"/>
        </w:rPr>
      </w:pPr>
    </w:p>
    <w:p w14:paraId="18907137" w14:textId="7854026D" w:rsidR="005E2773" w:rsidRDefault="005E2773" w:rsidP="00424BEF">
      <w:pPr>
        <w:rPr>
          <w:lang w:val="en-US"/>
        </w:rPr>
      </w:pPr>
    </w:p>
    <w:p w14:paraId="49EDF952" w14:textId="4982A404" w:rsidR="005E2773" w:rsidRDefault="005E2773" w:rsidP="00424BEF">
      <w:pPr>
        <w:rPr>
          <w:lang w:val="en-US"/>
        </w:rPr>
      </w:pPr>
    </w:p>
    <w:p w14:paraId="33DB1681" w14:textId="76FB1FA9" w:rsidR="005E2773" w:rsidRDefault="005E2773" w:rsidP="00424BEF">
      <w:pPr>
        <w:rPr>
          <w:lang w:val="en-US"/>
        </w:rPr>
      </w:pPr>
    </w:p>
    <w:p w14:paraId="1AFA9D91" w14:textId="1B7B913B" w:rsidR="005E2773" w:rsidRDefault="005E2773" w:rsidP="00424BEF">
      <w:pPr>
        <w:rPr>
          <w:lang w:val="en-US"/>
        </w:rPr>
      </w:pPr>
    </w:p>
    <w:p w14:paraId="6E7F37D5" w14:textId="218DD773" w:rsidR="005E2773" w:rsidRDefault="005E2773" w:rsidP="00424BEF">
      <w:pPr>
        <w:rPr>
          <w:lang w:val="en-US"/>
        </w:rPr>
      </w:pPr>
    </w:p>
    <w:p w14:paraId="598F0E00" w14:textId="6018EAD1" w:rsidR="005E2773" w:rsidRDefault="005E2773" w:rsidP="00424BEF">
      <w:pPr>
        <w:rPr>
          <w:lang w:val="en-US"/>
        </w:rPr>
      </w:pPr>
    </w:p>
    <w:p w14:paraId="36F54571" w14:textId="7A75E101" w:rsidR="005E2773" w:rsidRDefault="005E2773" w:rsidP="00424BEF">
      <w:pPr>
        <w:rPr>
          <w:lang w:val="en-US"/>
        </w:rPr>
      </w:pPr>
    </w:p>
    <w:p w14:paraId="1745E538" w14:textId="6F774093" w:rsidR="005E2773" w:rsidRDefault="005E2773" w:rsidP="00424BEF">
      <w:pPr>
        <w:rPr>
          <w:lang w:val="en-US"/>
        </w:rPr>
      </w:pPr>
    </w:p>
    <w:p w14:paraId="4CF54030" w14:textId="77AC43C8" w:rsidR="005E2773" w:rsidRDefault="005E2773" w:rsidP="00424BEF">
      <w:pPr>
        <w:rPr>
          <w:lang w:val="en-US"/>
        </w:rPr>
      </w:pPr>
    </w:p>
    <w:p w14:paraId="26B14166" w14:textId="7926B5B3" w:rsidR="005E2773" w:rsidRDefault="005E2773" w:rsidP="00424BEF">
      <w:pPr>
        <w:rPr>
          <w:lang w:val="en-US"/>
        </w:rPr>
      </w:pPr>
    </w:p>
    <w:p w14:paraId="5D159773" w14:textId="206007B2" w:rsidR="005E2773" w:rsidRDefault="005E2773" w:rsidP="00424BEF">
      <w:pPr>
        <w:rPr>
          <w:lang w:val="en-US"/>
        </w:rPr>
      </w:pPr>
    </w:p>
    <w:p w14:paraId="1F14073E" w14:textId="5E668540" w:rsidR="005E2773" w:rsidRDefault="005E2773" w:rsidP="00424BEF">
      <w:pPr>
        <w:rPr>
          <w:lang w:val="en-US"/>
        </w:rPr>
      </w:pPr>
    </w:p>
    <w:p w14:paraId="1E12DD24" w14:textId="54BA6F57" w:rsidR="005E2773" w:rsidRDefault="005E2773" w:rsidP="00424BEF">
      <w:pPr>
        <w:rPr>
          <w:lang w:val="en-US"/>
        </w:rPr>
      </w:pPr>
    </w:p>
    <w:p w14:paraId="0F4E3E77" w14:textId="47BF173F" w:rsidR="005E2773" w:rsidRDefault="005E2773" w:rsidP="00424BEF">
      <w:pPr>
        <w:rPr>
          <w:lang w:val="en-US"/>
        </w:rPr>
      </w:pPr>
    </w:p>
    <w:p w14:paraId="08EBB8B0" w14:textId="5618E186" w:rsidR="005E2773" w:rsidRDefault="005E2773" w:rsidP="00424BEF">
      <w:pPr>
        <w:rPr>
          <w:lang w:val="en-US"/>
        </w:rPr>
      </w:pPr>
    </w:p>
    <w:p w14:paraId="1390A441" w14:textId="2EFA0B89" w:rsidR="005E2773" w:rsidRDefault="005E2773" w:rsidP="00424BEF">
      <w:pPr>
        <w:rPr>
          <w:lang w:val="en-US"/>
        </w:rPr>
      </w:pPr>
    </w:p>
    <w:p w14:paraId="499949E8" w14:textId="18B51988" w:rsidR="005E2773" w:rsidRDefault="005E2773" w:rsidP="00424BEF">
      <w:pPr>
        <w:rPr>
          <w:lang w:val="en-US"/>
        </w:rPr>
      </w:pPr>
    </w:p>
    <w:p w14:paraId="76A13E7C" w14:textId="22E71136" w:rsidR="005E2773" w:rsidRDefault="005E2773" w:rsidP="00424BEF">
      <w:pPr>
        <w:rPr>
          <w:lang w:val="en-US"/>
        </w:rPr>
      </w:pPr>
    </w:p>
    <w:p w14:paraId="158C0954" w14:textId="384EA4A5" w:rsidR="005E2773" w:rsidRDefault="005E2773" w:rsidP="00424BEF">
      <w:pPr>
        <w:rPr>
          <w:lang w:val="en-US"/>
        </w:rPr>
      </w:pPr>
    </w:p>
    <w:p w14:paraId="3C0F3292" w14:textId="2E13E2B5" w:rsidR="005E2773" w:rsidRDefault="005E2773" w:rsidP="00424BEF">
      <w:pPr>
        <w:rPr>
          <w:lang w:val="en-US"/>
        </w:rPr>
      </w:pPr>
    </w:p>
    <w:p w14:paraId="4BED0129" w14:textId="5E525FB4" w:rsidR="005E2773" w:rsidRDefault="005E2773" w:rsidP="00424BEF">
      <w:pPr>
        <w:rPr>
          <w:lang w:val="en-US"/>
        </w:rPr>
      </w:pPr>
    </w:p>
    <w:p w14:paraId="030F3F36" w14:textId="77777777" w:rsidR="005E2773" w:rsidRPr="00304127" w:rsidRDefault="005E2773" w:rsidP="00424BEF">
      <w:pPr>
        <w:rPr>
          <w:lang w:val="en-US"/>
        </w:rPr>
      </w:pPr>
    </w:p>
    <w:sectPr w:rsidR="005E2773" w:rsidRPr="00304127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FE3C" w14:textId="77777777" w:rsidR="001D54C8" w:rsidRDefault="001D54C8">
      <w:r>
        <w:separator/>
      </w:r>
    </w:p>
  </w:endnote>
  <w:endnote w:type="continuationSeparator" w:id="0">
    <w:p w14:paraId="0298637F" w14:textId="77777777" w:rsidR="001D54C8" w:rsidRDefault="001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C601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78C7" w14:textId="77777777" w:rsidR="001D54C8" w:rsidRDefault="001D54C8">
      <w:r>
        <w:separator/>
      </w:r>
    </w:p>
  </w:footnote>
  <w:footnote w:type="continuationSeparator" w:id="0">
    <w:p w14:paraId="1A4CDF52" w14:textId="77777777" w:rsidR="001D54C8" w:rsidRDefault="001D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3A6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:rsidRPr="000F239A" w14:paraId="65C9CC30" w14:textId="77777777">
      <w:trPr>
        <w:trHeight w:val="553"/>
        <w:jc w:val="center"/>
      </w:trPr>
      <w:tc>
        <w:tcPr>
          <w:tcW w:w="1179" w:type="dxa"/>
          <w:vMerge w:val="restart"/>
        </w:tcPr>
        <w:p w14:paraId="77BB3632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641B0AD5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0C47A1FE" wp14:editId="331E3BF4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7C7B7227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7255EF4A" w14:textId="0117A814" w:rsidR="00E5375B" w:rsidRPr="00304127" w:rsidRDefault="00304127" w:rsidP="003041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  <w:r w:rsidRPr="00304127">
            <w:rPr>
              <w:rFonts w:eastAsia="Tahoma"/>
              <w:b/>
              <w:sz w:val="17"/>
              <w:szCs w:val="17"/>
              <w:lang w:val="en-US"/>
            </w:rPr>
            <w:t>NJSC "KAZAKH NATIONAL MEDICAL UNIVERSITY NAMED AFTER S.D. ASFENDIYAROV"</w:t>
          </w:r>
        </w:p>
      </w:tc>
    </w:tr>
    <w:tr w:rsidR="00E5375B" w14:paraId="3AC38BB4" w14:textId="77777777">
      <w:trPr>
        <w:trHeight w:val="236"/>
        <w:jc w:val="center"/>
      </w:trPr>
      <w:tc>
        <w:tcPr>
          <w:tcW w:w="1179" w:type="dxa"/>
          <w:vMerge/>
        </w:tcPr>
        <w:p w14:paraId="09AB3345" w14:textId="77777777" w:rsidR="00E5375B" w:rsidRPr="00304127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  <w:lang w:val="en-US"/>
            </w:rPr>
          </w:pPr>
        </w:p>
      </w:tc>
      <w:tc>
        <w:tcPr>
          <w:tcW w:w="3735" w:type="dxa"/>
          <w:vMerge w:val="restart"/>
          <w:vAlign w:val="center"/>
        </w:tcPr>
        <w:p w14:paraId="07DA8BC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proofErr w:type="spellStart"/>
          <w:r>
            <w:rPr>
              <w:color w:val="000000"/>
              <w:sz w:val="17"/>
              <w:szCs w:val="17"/>
            </w:rPr>
            <w:t>Simulation</w:t>
          </w:r>
          <w:proofErr w:type="spellEnd"/>
          <w:r>
            <w:rPr>
              <w:color w:val="000000"/>
              <w:sz w:val="17"/>
              <w:szCs w:val="17"/>
            </w:rPr>
            <w:t xml:space="preserve"> Center</w:t>
          </w:r>
        </w:p>
      </w:tc>
      <w:tc>
        <w:tcPr>
          <w:tcW w:w="3537" w:type="dxa"/>
          <w:vMerge w:val="restart"/>
          <w:vAlign w:val="center"/>
        </w:tcPr>
        <w:p w14:paraId="6630FD20" w14:textId="390B325D" w:rsidR="00E5375B" w:rsidRPr="00380D9A" w:rsidRDefault="00380D9A">
          <w:pPr>
            <w:jc w:val="center"/>
            <w:rPr>
              <w:sz w:val="17"/>
              <w:szCs w:val="17"/>
              <w:lang w:val="en-US"/>
            </w:rPr>
          </w:pPr>
          <w:r>
            <w:rPr>
              <w:sz w:val="17"/>
              <w:szCs w:val="17"/>
              <w:lang w:val="en-US"/>
            </w:rPr>
            <w:t xml:space="preserve">Algorithm </w:t>
          </w:r>
        </w:p>
      </w:tc>
      <w:tc>
        <w:tcPr>
          <w:tcW w:w="1724" w:type="dxa"/>
        </w:tcPr>
        <w:p w14:paraId="006B986F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Edition: 1</w:t>
          </w:r>
        </w:p>
      </w:tc>
    </w:tr>
    <w:tr w:rsidR="00E5375B" w14:paraId="38D83937" w14:textId="77777777">
      <w:trPr>
        <w:trHeight w:val="183"/>
        <w:jc w:val="center"/>
      </w:trPr>
      <w:tc>
        <w:tcPr>
          <w:tcW w:w="1179" w:type="dxa"/>
          <w:vMerge/>
        </w:tcPr>
        <w:p w14:paraId="7AD346C3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164EB25C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641D2F4A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4EAC08BE" w14:textId="6C5FF9AA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>Page</w:t>
          </w:r>
          <w:r>
            <w:rPr>
              <w:color w:val="7030A0"/>
              <w:sz w:val="17"/>
              <w:szCs w:val="17"/>
            </w:rPr>
            <w:fldChar w:fldCharType="begin"/>
          </w:r>
          <w:r>
            <w:rPr>
              <w:color w:val="7030A0"/>
              <w:sz w:val="17"/>
              <w:szCs w:val="17"/>
            </w:rPr>
            <w:instrText>PAGE</w:instrText>
          </w:r>
          <w:r>
            <w:rPr>
              <w:color w:val="7030A0"/>
              <w:sz w:val="17"/>
              <w:szCs w:val="17"/>
            </w:rPr>
            <w:fldChar w:fldCharType="separate"/>
          </w:r>
          <w:r w:rsidR="0013436B">
            <w:rPr>
              <w:noProof/>
              <w:color w:val="7030A0"/>
              <w:sz w:val="17"/>
              <w:szCs w:val="17"/>
            </w:rPr>
            <w:t>1</w:t>
          </w:r>
          <w:r>
            <w:rPr>
              <w:color w:val="7030A0"/>
              <w:sz w:val="17"/>
              <w:szCs w:val="17"/>
            </w:rPr>
            <w:fldChar w:fldCharType="end"/>
          </w:r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proofErr w:type="spellStart"/>
          <w:r>
            <w:rPr>
              <w:color w:val="7030A0"/>
              <w:sz w:val="17"/>
              <w:szCs w:val="17"/>
            </w:rPr>
            <w:t>from</w:t>
          </w:r>
          <w:proofErr w:type="spellEnd"/>
          <w:r w:rsidR="00304127">
            <w:rPr>
              <w:color w:val="7030A0"/>
              <w:sz w:val="17"/>
              <w:szCs w:val="17"/>
              <w:lang w:val="en-US"/>
            </w:rPr>
            <w:t xml:space="preserve"> </w:t>
          </w:r>
          <w:r w:rsidRPr="00B926BE">
            <w:rPr>
              <w:color w:val="000000"/>
              <w:sz w:val="17"/>
              <w:szCs w:val="17"/>
            </w:rPr>
            <w:fldChar w:fldCharType="begin"/>
          </w:r>
          <w:r w:rsidRPr="00B926BE">
            <w:rPr>
              <w:color w:val="000000"/>
              <w:sz w:val="17"/>
              <w:szCs w:val="17"/>
            </w:rPr>
            <w:instrText>NUMPAGES</w:instrText>
          </w:r>
          <w:r w:rsidRPr="00B926BE">
            <w:rPr>
              <w:color w:val="000000"/>
              <w:sz w:val="17"/>
              <w:szCs w:val="17"/>
            </w:rPr>
            <w:fldChar w:fldCharType="separate"/>
          </w:r>
          <w:r w:rsidR="0013436B" w:rsidRPr="00B926BE">
            <w:rPr>
              <w:noProof/>
              <w:color w:val="000000"/>
              <w:sz w:val="17"/>
              <w:szCs w:val="17"/>
            </w:rPr>
            <w:t>2</w:t>
          </w:r>
          <w:r w:rsidRPr="00B926BE">
            <w:rPr>
              <w:color w:val="000000"/>
              <w:sz w:val="17"/>
              <w:szCs w:val="17"/>
            </w:rPr>
            <w:fldChar w:fldCharType="end"/>
          </w:r>
        </w:p>
      </w:tc>
    </w:tr>
  </w:tbl>
  <w:p w14:paraId="5A17C4CD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5CE5D3CC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351F7"/>
    <w:multiLevelType w:val="multilevel"/>
    <w:tmpl w:val="7CA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24E8"/>
    <w:multiLevelType w:val="multilevel"/>
    <w:tmpl w:val="4812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65752"/>
    <w:multiLevelType w:val="multilevel"/>
    <w:tmpl w:val="61EC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F2D"/>
    <w:multiLevelType w:val="hybridMultilevel"/>
    <w:tmpl w:val="4A7AB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8C63C1"/>
    <w:multiLevelType w:val="hybridMultilevel"/>
    <w:tmpl w:val="532C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D66"/>
    <w:multiLevelType w:val="hybridMultilevel"/>
    <w:tmpl w:val="492E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6C1"/>
    <w:multiLevelType w:val="multilevel"/>
    <w:tmpl w:val="B6A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20C93"/>
    <w:multiLevelType w:val="multilevel"/>
    <w:tmpl w:val="21F8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E0C50"/>
    <w:multiLevelType w:val="multilevel"/>
    <w:tmpl w:val="2C2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A49F5"/>
    <w:multiLevelType w:val="multilevel"/>
    <w:tmpl w:val="EC1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E64AE"/>
    <w:multiLevelType w:val="multilevel"/>
    <w:tmpl w:val="80BAD190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F408C7"/>
    <w:multiLevelType w:val="multilevel"/>
    <w:tmpl w:val="DF9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A425A"/>
    <w:multiLevelType w:val="multilevel"/>
    <w:tmpl w:val="525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C7D"/>
    <w:multiLevelType w:val="multilevel"/>
    <w:tmpl w:val="E86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62651339"/>
    <w:multiLevelType w:val="hybridMultilevel"/>
    <w:tmpl w:val="C29EE274"/>
    <w:lvl w:ilvl="0" w:tplc="1FEACF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B626F"/>
    <w:multiLevelType w:val="multilevel"/>
    <w:tmpl w:val="FE7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95F6E"/>
    <w:multiLevelType w:val="multilevel"/>
    <w:tmpl w:val="B168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31DA2"/>
    <w:multiLevelType w:val="hybridMultilevel"/>
    <w:tmpl w:val="F80A2C6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81330"/>
    <w:multiLevelType w:val="multilevel"/>
    <w:tmpl w:val="922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C0AF1"/>
    <w:multiLevelType w:val="multilevel"/>
    <w:tmpl w:val="055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0205D"/>
    <w:multiLevelType w:val="hybridMultilevel"/>
    <w:tmpl w:val="7FD6AC1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39C8"/>
    <w:multiLevelType w:val="multilevel"/>
    <w:tmpl w:val="BC9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"/>
  </w:num>
  <w:num w:numId="5">
    <w:abstractNumId w:val="18"/>
  </w:num>
  <w:num w:numId="6">
    <w:abstractNumId w:val="9"/>
  </w:num>
  <w:num w:numId="7">
    <w:abstractNumId w:val="12"/>
  </w:num>
  <w:num w:numId="8">
    <w:abstractNumId w:val="4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20"/>
  </w:num>
  <w:num w:numId="14">
    <w:abstractNumId w:val="23"/>
  </w:num>
  <w:num w:numId="15">
    <w:abstractNumId w:val="6"/>
  </w:num>
  <w:num w:numId="16">
    <w:abstractNumId w:val="15"/>
  </w:num>
  <w:num w:numId="17">
    <w:abstractNumId w:val="24"/>
  </w:num>
  <w:num w:numId="18">
    <w:abstractNumId w:val="22"/>
  </w:num>
  <w:num w:numId="19">
    <w:abstractNumId w:val="1"/>
  </w:num>
  <w:num w:numId="20">
    <w:abstractNumId w:val="8"/>
  </w:num>
  <w:num w:numId="21">
    <w:abstractNumId w:val="10"/>
  </w:num>
  <w:num w:numId="22">
    <w:abstractNumId w:val="17"/>
  </w:num>
  <w:num w:numId="23">
    <w:abstractNumId w:val="21"/>
  </w:num>
  <w:num w:numId="24">
    <w:abstractNumId w:val="7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5BDD"/>
    <w:rsid w:val="000115EB"/>
    <w:rsid w:val="00037EDE"/>
    <w:rsid w:val="0004270E"/>
    <w:rsid w:val="00051C44"/>
    <w:rsid w:val="000B72BF"/>
    <w:rsid w:val="000E6748"/>
    <w:rsid w:val="000F0986"/>
    <w:rsid w:val="000F0ED3"/>
    <w:rsid w:val="000F239A"/>
    <w:rsid w:val="00112D5E"/>
    <w:rsid w:val="0013436B"/>
    <w:rsid w:val="0014137B"/>
    <w:rsid w:val="00144AB3"/>
    <w:rsid w:val="00144BEE"/>
    <w:rsid w:val="0015526A"/>
    <w:rsid w:val="00161D65"/>
    <w:rsid w:val="00175F6A"/>
    <w:rsid w:val="001B3210"/>
    <w:rsid w:val="001D11B2"/>
    <w:rsid w:val="001D19B0"/>
    <w:rsid w:val="001D54C8"/>
    <w:rsid w:val="001F18A4"/>
    <w:rsid w:val="001F2F19"/>
    <w:rsid w:val="00213CCC"/>
    <w:rsid w:val="002162CE"/>
    <w:rsid w:val="00221A9B"/>
    <w:rsid w:val="00250CAF"/>
    <w:rsid w:val="002A68BE"/>
    <w:rsid w:val="002A75BA"/>
    <w:rsid w:val="002B113A"/>
    <w:rsid w:val="002B222D"/>
    <w:rsid w:val="00304127"/>
    <w:rsid w:val="00330A58"/>
    <w:rsid w:val="00354FAB"/>
    <w:rsid w:val="00363C14"/>
    <w:rsid w:val="003675B1"/>
    <w:rsid w:val="003745D4"/>
    <w:rsid w:val="0037503D"/>
    <w:rsid w:val="00380D9A"/>
    <w:rsid w:val="00395F17"/>
    <w:rsid w:val="003C245A"/>
    <w:rsid w:val="004004B8"/>
    <w:rsid w:val="00402DED"/>
    <w:rsid w:val="00424BEF"/>
    <w:rsid w:val="00427A7C"/>
    <w:rsid w:val="00436F67"/>
    <w:rsid w:val="00444024"/>
    <w:rsid w:val="00455682"/>
    <w:rsid w:val="00460887"/>
    <w:rsid w:val="00482B29"/>
    <w:rsid w:val="0049280F"/>
    <w:rsid w:val="004B70D3"/>
    <w:rsid w:val="004B7CB2"/>
    <w:rsid w:val="004D19A7"/>
    <w:rsid w:val="004D2208"/>
    <w:rsid w:val="004D2DE0"/>
    <w:rsid w:val="004D3DF8"/>
    <w:rsid w:val="004D3FD1"/>
    <w:rsid w:val="004E2A9E"/>
    <w:rsid w:val="0050038D"/>
    <w:rsid w:val="0050090D"/>
    <w:rsid w:val="005357B0"/>
    <w:rsid w:val="0053645D"/>
    <w:rsid w:val="005405E0"/>
    <w:rsid w:val="005430D3"/>
    <w:rsid w:val="00567371"/>
    <w:rsid w:val="00576CAE"/>
    <w:rsid w:val="005831C6"/>
    <w:rsid w:val="005A129B"/>
    <w:rsid w:val="005D3D2E"/>
    <w:rsid w:val="005E2773"/>
    <w:rsid w:val="005E726B"/>
    <w:rsid w:val="0060335A"/>
    <w:rsid w:val="00604320"/>
    <w:rsid w:val="006343BC"/>
    <w:rsid w:val="00653ADC"/>
    <w:rsid w:val="006846EF"/>
    <w:rsid w:val="006E7070"/>
    <w:rsid w:val="006F2444"/>
    <w:rsid w:val="006F6A2B"/>
    <w:rsid w:val="00702DBA"/>
    <w:rsid w:val="00704CF3"/>
    <w:rsid w:val="007074B3"/>
    <w:rsid w:val="0073297C"/>
    <w:rsid w:val="00747C15"/>
    <w:rsid w:val="007529E8"/>
    <w:rsid w:val="00755ED4"/>
    <w:rsid w:val="007747BB"/>
    <w:rsid w:val="007764DE"/>
    <w:rsid w:val="007A6D49"/>
    <w:rsid w:val="007A783F"/>
    <w:rsid w:val="007A7AB0"/>
    <w:rsid w:val="007C2FCC"/>
    <w:rsid w:val="007C7709"/>
    <w:rsid w:val="007E0460"/>
    <w:rsid w:val="007E589A"/>
    <w:rsid w:val="007F40F0"/>
    <w:rsid w:val="008022DB"/>
    <w:rsid w:val="00811091"/>
    <w:rsid w:val="0082187B"/>
    <w:rsid w:val="00823834"/>
    <w:rsid w:val="00824A79"/>
    <w:rsid w:val="00836F2C"/>
    <w:rsid w:val="008847E4"/>
    <w:rsid w:val="00891FD9"/>
    <w:rsid w:val="008A7F4B"/>
    <w:rsid w:val="008B2CFB"/>
    <w:rsid w:val="008C7A25"/>
    <w:rsid w:val="008D01AD"/>
    <w:rsid w:val="008D5E4E"/>
    <w:rsid w:val="008F4BC5"/>
    <w:rsid w:val="0092336A"/>
    <w:rsid w:val="0092549B"/>
    <w:rsid w:val="00953B88"/>
    <w:rsid w:val="00973AB6"/>
    <w:rsid w:val="009C5170"/>
    <w:rsid w:val="009F06FC"/>
    <w:rsid w:val="009F15FD"/>
    <w:rsid w:val="009F65BC"/>
    <w:rsid w:val="00A22D21"/>
    <w:rsid w:val="00A2442A"/>
    <w:rsid w:val="00A448DE"/>
    <w:rsid w:val="00A612D1"/>
    <w:rsid w:val="00A82253"/>
    <w:rsid w:val="00A87354"/>
    <w:rsid w:val="00A91DBF"/>
    <w:rsid w:val="00A95229"/>
    <w:rsid w:val="00AB24F3"/>
    <w:rsid w:val="00AC229B"/>
    <w:rsid w:val="00B014FE"/>
    <w:rsid w:val="00B02267"/>
    <w:rsid w:val="00B07C7B"/>
    <w:rsid w:val="00B35E0B"/>
    <w:rsid w:val="00B36358"/>
    <w:rsid w:val="00B53E70"/>
    <w:rsid w:val="00B56541"/>
    <w:rsid w:val="00B60B7E"/>
    <w:rsid w:val="00B62C20"/>
    <w:rsid w:val="00B81DD1"/>
    <w:rsid w:val="00B926BE"/>
    <w:rsid w:val="00BA0DE1"/>
    <w:rsid w:val="00BB402A"/>
    <w:rsid w:val="00BC5B04"/>
    <w:rsid w:val="00BF5DC6"/>
    <w:rsid w:val="00C01BC8"/>
    <w:rsid w:val="00C30450"/>
    <w:rsid w:val="00C340E2"/>
    <w:rsid w:val="00C46DC7"/>
    <w:rsid w:val="00C752E9"/>
    <w:rsid w:val="00C7742E"/>
    <w:rsid w:val="00C86109"/>
    <w:rsid w:val="00CB79DD"/>
    <w:rsid w:val="00CC7CE0"/>
    <w:rsid w:val="00CE1589"/>
    <w:rsid w:val="00D23328"/>
    <w:rsid w:val="00D269F6"/>
    <w:rsid w:val="00D346A6"/>
    <w:rsid w:val="00D41AF8"/>
    <w:rsid w:val="00D60389"/>
    <w:rsid w:val="00D65A51"/>
    <w:rsid w:val="00D94679"/>
    <w:rsid w:val="00DA24D1"/>
    <w:rsid w:val="00DA7078"/>
    <w:rsid w:val="00DB29CB"/>
    <w:rsid w:val="00DC1C43"/>
    <w:rsid w:val="00DD2C82"/>
    <w:rsid w:val="00DE5BDC"/>
    <w:rsid w:val="00DE78DD"/>
    <w:rsid w:val="00E321D7"/>
    <w:rsid w:val="00E33ABD"/>
    <w:rsid w:val="00E40D2C"/>
    <w:rsid w:val="00E5375B"/>
    <w:rsid w:val="00E62202"/>
    <w:rsid w:val="00EA72F6"/>
    <w:rsid w:val="00EB6920"/>
    <w:rsid w:val="00ED1B56"/>
    <w:rsid w:val="00ED3C70"/>
    <w:rsid w:val="00EE4733"/>
    <w:rsid w:val="00EF413A"/>
    <w:rsid w:val="00F1031A"/>
    <w:rsid w:val="00F151AE"/>
    <w:rsid w:val="00F2791F"/>
    <w:rsid w:val="00F91EC3"/>
    <w:rsid w:val="00FA30B8"/>
    <w:rsid w:val="00FA4620"/>
    <w:rsid w:val="00FD5BBF"/>
    <w:rsid w:val="00FE7E81"/>
    <w:rsid w:val="00FF34E5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8214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5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74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basedOn w:val="a0"/>
    <w:uiPriority w:val="99"/>
    <w:unhideWhenUsed/>
    <w:rsid w:val="007074B3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576CAE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576CAE"/>
    <w:rPr>
      <w:b/>
      <w:bCs/>
    </w:rPr>
  </w:style>
  <w:style w:type="character" w:customStyle="1" w:styleId="ms-1">
    <w:name w:val="ms-1"/>
    <w:basedOn w:val="a0"/>
    <w:rsid w:val="00424BEF"/>
  </w:style>
  <w:style w:type="character" w:customStyle="1" w:styleId="max-w-15ch">
    <w:name w:val="max-w-[15ch]"/>
    <w:basedOn w:val="a0"/>
    <w:rsid w:val="00424BEF"/>
  </w:style>
  <w:style w:type="character" w:customStyle="1" w:styleId="-me-1">
    <w:name w:val="-me-1"/>
    <w:basedOn w:val="a0"/>
    <w:rsid w:val="00424BEF"/>
  </w:style>
  <w:style w:type="paragraph" w:styleId="aff">
    <w:name w:val="header"/>
    <w:basedOn w:val="a"/>
    <w:link w:val="aff0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B29CB"/>
  </w:style>
  <w:style w:type="paragraph" w:styleId="aff1">
    <w:name w:val="footer"/>
    <w:basedOn w:val="a"/>
    <w:link w:val="aff2"/>
    <w:uiPriority w:val="99"/>
    <w:unhideWhenUsed/>
    <w:rsid w:val="00DB29C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B29CB"/>
  </w:style>
  <w:style w:type="character" w:customStyle="1" w:styleId="aff3">
    <w:name w:val="Основной текст Знак"/>
    <w:link w:val="aff4"/>
    <w:rsid w:val="00CB79DD"/>
    <w:rPr>
      <w:b/>
      <w:sz w:val="28"/>
    </w:rPr>
  </w:style>
  <w:style w:type="paragraph" w:styleId="aff4">
    <w:name w:val="Body Text"/>
    <w:basedOn w:val="a"/>
    <w:link w:val="aff3"/>
    <w:rsid w:val="00CB79DD"/>
    <w:rPr>
      <w:b/>
      <w:sz w:val="28"/>
    </w:rPr>
  </w:style>
  <w:style w:type="character" w:customStyle="1" w:styleId="10">
    <w:name w:val="Основной текст Знак1"/>
    <w:basedOn w:val="a0"/>
    <w:uiPriority w:val="99"/>
    <w:semiHidden/>
    <w:rsid w:val="00CB79DD"/>
  </w:style>
  <w:style w:type="character" w:styleId="aff5">
    <w:name w:val="Unresolved Mention"/>
    <w:basedOn w:val="a0"/>
    <w:uiPriority w:val="99"/>
    <w:semiHidden/>
    <w:unhideWhenUsed/>
    <w:rsid w:val="007C2FCC"/>
    <w:rPr>
      <w:color w:val="605E5C"/>
      <w:shd w:val="clear" w:color="auto" w:fill="E1DFDD"/>
    </w:rPr>
  </w:style>
  <w:style w:type="paragraph" w:customStyle="1" w:styleId="Default">
    <w:name w:val="Default"/>
    <w:qFormat/>
    <w:rsid w:val="00330A58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customStyle="1" w:styleId="11">
    <w:name w:val="Сетка таблицы1"/>
    <w:basedOn w:val="a1"/>
    <w:next w:val="afb"/>
    <w:uiPriority w:val="59"/>
    <w:rsid w:val="0060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8</cp:revision>
  <cp:lastPrinted>2025-11-12T10:54:00Z</cp:lastPrinted>
  <dcterms:created xsi:type="dcterms:W3CDTF">2025-11-13T07:43:00Z</dcterms:created>
  <dcterms:modified xsi:type="dcterms:W3CDTF">2025-12-01T12:45:00Z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