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1B1EC" w14:textId="3C509210" w:rsidR="00E5375B" w:rsidRPr="00213CCC" w:rsidRDefault="00213CCC" w:rsidP="0050090D">
      <w:pPr>
        <w:jc w:val="center"/>
        <w:rPr>
          <w:b/>
          <w:lang w:val="en-US"/>
        </w:rPr>
      </w:pPr>
      <w:bookmarkStart w:id="0" w:name="_tgambadhrcdc" w:colFirst="0" w:colLast="0"/>
      <w:bookmarkEnd w:id="0"/>
      <w:r w:rsidRPr="00213CCC">
        <w:rPr>
          <w:b/>
          <w:lang w:val="en-US"/>
        </w:rPr>
        <w:t>«</w:t>
      </w:r>
      <w:r w:rsidR="00221A9B" w:rsidRPr="00AB24F3">
        <w:rPr>
          <w:b/>
          <w:lang w:val="en-US"/>
        </w:rPr>
        <w:t>Emergency medical care for anaphylactic shock</w:t>
      </w:r>
      <w:r w:rsidRPr="00213CCC">
        <w:rPr>
          <w:b/>
          <w:lang w:val="en-US"/>
        </w:rPr>
        <w:t>»</w:t>
      </w:r>
    </w:p>
    <w:p w14:paraId="0B835EE3" w14:textId="77777777" w:rsidR="0050090D" w:rsidRPr="00AB24F3" w:rsidRDefault="0050090D" w:rsidP="0050090D">
      <w:pPr>
        <w:jc w:val="center"/>
        <w:rPr>
          <w:b/>
          <w:color w:val="1155CC"/>
          <w:lang w:val="en-US"/>
        </w:rPr>
      </w:pPr>
    </w:p>
    <w:tbl>
      <w:tblPr>
        <w:tblStyle w:val="ac"/>
        <w:tblW w:w="102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0"/>
        <w:gridCol w:w="2805"/>
        <w:gridCol w:w="7035"/>
      </w:tblGrid>
      <w:tr w:rsidR="0050090D" w14:paraId="0EE3851C" w14:textId="77777777" w:rsidTr="00FC3434">
        <w:tc>
          <w:tcPr>
            <w:tcW w:w="360" w:type="dxa"/>
          </w:tcPr>
          <w:p w14:paraId="49DBEE20" w14:textId="77777777" w:rsidR="0050090D" w:rsidRDefault="0050090D" w:rsidP="00FC3434">
            <w:pPr>
              <w:ind w:right="-879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805" w:type="dxa"/>
          </w:tcPr>
          <w:p w14:paraId="154B1C4B" w14:textId="77777777" w:rsidR="0050090D" w:rsidRDefault="0050090D" w:rsidP="00FC3434">
            <w:pPr>
              <w:ind w:right="-87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Steps</w:t>
            </w:r>
            <w:proofErr w:type="spellEnd"/>
          </w:p>
        </w:tc>
        <w:tc>
          <w:tcPr>
            <w:tcW w:w="7035" w:type="dxa"/>
          </w:tcPr>
          <w:p w14:paraId="7D89147A" w14:textId="77777777" w:rsidR="0050090D" w:rsidRDefault="0050090D" w:rsidP="00FC3434">
            <w:pPr>
              <w:ind w:right="-87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Algorithm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action</w:t>
            </w:r>
            <w:proofErr w:type="spellEnd"/>
          </w:p>
        </w:tc>
      </w:tr>
      <w:tr w:rsidR="0050090D" w14:paraId="55FBDCE8" w14:textId="77777777" w:rsidTr="00FC3434">
        <w:tc>
          <w:tcPr>
            <w:tcW w:w="10200" w:type="dxa"/>
            <w:gridSpan w:val="3"/>
          </w:tcPr>
          <w:p w14:paraId="49762F28" w14:textId="77777777" w:rsidR="0050090D" w:rsidRDefault="0050090D" w:rsidP="00FC3434">
            <w:pPr>
              <w:ind w:right="-87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Tactics</w:t>
            </w:r>
            <w:proofErr w:type="spellEnd"/>
            <w:r>
              <w:rPr>
                <w:b/>
              </w:rPr>
              <w:t>:</w:t>
            </w:r>
          </w:p>
        </w:tc>
      </w:tr>
      <w:tr w:rsidR="0050090D" w:rsidRPr="008B40F9" w14:paraId="74EB6F09" w14:textId="77777777" w:rsidTr="00FC3434">
        <w:tc>
          <w:tcPr>
            <w:tcW w:w="360" w:type="dxa"/>
          </w:tcPr>
          <w:p w14:paraId="3A56A625" w14:textId="77777777" w:rsidR="0050090D" w:rsidRDefault="0050090D" w:rsidP="00FC3434">
            <w:pPr>
              <w:ind w:right="-879"/>
            </w:pPr>
            <w:r>
              <w:t>1</w:t>
            </w:r>
          </w:p>
        </w:tc>
        <w:tc>
          <w:tcPr>
            <w:tcW w:w="2805" w:type="dxa"/>
          </w:tcPr>
          <w:p w14:paraId="2930A891" w14:textId="77777777" w:rsidR="0050090D" w:rsidRPr="00AB24F3" w:rsidRDefault="0050090D" w:rsidP="00B81DD1">
            <w:pPr>
              <w:tabs>
                <w:tab w:val="left" w:pos="2445"/>
                <w:tab w:val="left" w:pos="3312"/>
              </w:tabs>
              <w:ind w:right="28"/>
              <w:jc w:val="both"/>
              <w:rPr>
                <w:lang w:val="en-US"/>
              </w:rPr>
            </w:pPr>
            <w:r w:rsidRPr="00AB24F3">
              <w:rPr>
                <w:lang w:val="en-US"/>
              </w:rPr>
              <w:t>Immediately stop contact with the allergen</w:t>
            </w:r>
          </w:p>
        </w:tc>
        <w:tc>
          <w:tcPr>
            <w:tcW w:w="7035" w:type="dxa"/>
          </w:tcPr>
          <w:p w14:paraId="32D0520B" w14:textId="0199D8AA" w:rsidR="0050090D" w:rsidRPr="00AB24F3" w:rsidRDefault="0050090D" w:rsidP="00B81DD1">
            <w:pPr>
              <w:jc w:val="both"/>
              <w:rPr>
                <w:lang w:val="en-US"/>
              </w:rPr>
            </w:pPr>
            <w:r w:rsidRPr="00AB24F3">
              <w:rPr>
                <w:lang w:val="en-US"/>
              </w:rPr>
              <w:t>Action:</w:t>
            </w:r>
            <w:r w:rsidR="00DC1C43">
              <w:rPr>
                <w:lang w:val="en-US"/>
              </w:rPr>
              <w:t xml:space="preserve"> </w:t>
            </w:r>
            <w:r w:rsidRPr="00AB24F3">
              <w:rPr>
                <w:lang w:val="en-US"/>
              </w:rPr>
              <w:t>Stop administering the drug.</w:t>
            </w:r>
          </w:p>
          <w:p w14:paraId="7CE82F02" w14:textId="77777777" w:rsidR="0050090D" w:rsidRPr="00AB24F3" w:rsidRDefault="0050090D" w:rsidP="00B81DD1">
            <w:pPr>
              <w:jc w:val="both"/>
              <w:rPr>
                <w:lang w:val="en-US"/>
              </w:rPr>
            </w:pPr>
            <w:r w:rsidRPr="00AB24F3">
              <w:rPr>
                <w:lang w:val="en-US"/>
              </w:rPr>
              <w:t>Remove the stinger (if an insect bite).</w:t>
            </w:r>
          </w:p>
          <w:p w14:paraId="726056B6" w14:textId="77777777" w:rsidR="0050090D" w:rsidRPr="00AB24F3" w:rsidRDefault="0050090D" w:rsidP="00B81DD1">
            <w:pPr>
              <w:jc w:val="both"/>
              <w:rPr>
                <w:lang w:val="en-US"/>
              </w:rPr>
            </w:pPr>
            <w:r w:rsidRPr="00AB24F3">
              <w:rPr>
                <w:lang w:val="en-US"/>
              </w:rPr>
              <w:t>Apply a tourniquet above the injection/bite site (if possible).</w:t>
            </w:r>
          </w:p>
        </w:tc>
      </w:tr>
      <w:tr w:rsidR="0050090D" w:rsidRPr="008B40F9" w14:paraId="54019983" w14:textId="77777777" w:rsidTr="00FC3434">
        <w:tc>
          <w:tcPr>
            <w:tcW w:w="360" w:type="dxa"/>
          </w:tcPr>
          <w:p w14:paraId="070FB445" w14:textId="77777777" w:rsidR="0050090D" w:rsidRDefault="0050090D" w:rsidP="00FC3434">
            <w:pPr>
              <w:ind w:right="-879"/>
            </w:pPr>
            <w:r>
              <w:t>2</w:t>
            </w:r>
          </w:p>
        </w:tc>
        <w:tc>
          <w:tcPr>
            <w:tcW w:w="2805" w:type="dxa"/>
          </w:tcPr>
          <w:p w14:paraId="00836242" w14:textId="77777777" w:rsidR="0050090D" w:rsidRDefault="0050090D" w:rsidP="00B81DD1">
            <w:pPr>
              <w:tabs>
                <w:tab w:val="left" w:pos="2445"/>
                <w:tab w:val="left" w:pos="3312"/>
              </w:tabs>
              <w:ind w:right="28"/>
              <w:jc w:val="both"/>
            </w:pPr>
            <w:r>
              <w:t xml:space="preserve">ABCDE </w:t>
            </w:r>
            <w:proofErr w:type="spellStart"/>
            <w:r>
              <w:t>assessment</w:t>
            </w:r>
            <w:proofErr w:type="spellEnd"/>
          </w:p>
        </w:tc>
        <w:tc>
          <w:tcPr>
            <w:tcW w:w="7035" w:type="dxa"/>
          </w:tcPr>
          <w:p w14:paraId="4B5D3161" w14:textId="77777777" w:rsidR="0050090D" w:rsidRPr="00AB24F3" w:rsidRDefault="0050090D" w:rsidP="00B81DD1">
            <w:pPr>
              <w:jc w:val="both"/>
              <w:rPr>
                <w:lang w:val="en-US"/>
              </w:rPr>
            </w:pPr>
            <w:r w:rsidRPr="00DC1C43">
              <w:rPr>
                <w:b/>
                <w:bCs/>
                <w:lang w:val="en-US"/>
              </w:rPr>
              <w:t>A</w:t>
            </w:r>
            <w:r w:rsidRPr="00AB24F3">
              <w:rPr>
                <w:lang w:val="en-US"/>
              </w:rPr>
              <w:t xml:space="preserve"> (Airway): check airway patency (edema, stridor).</w:t>
            </w:r>
          </w:p>
          <w:p w14:paraId="513C20F1" w14:textId="77777777" w:rsidR="0050090D" w:rsidRPr="00AB24F3" w:rsidRDefault="0050090D" w:rsidP="00B81DD1">
            <w:pPr>
              <w:jc w:val="both"/>
              <w:rPr>
                <w:lang w:val="en-US"/>
              </w:rPr>
            </w:pPr>
            <w:r w:rsidRPr="00DC1C43">
              <w:rPr>
                <w:b/>
                <w:bCs/>
                <w:lang w:val="en-US"/>
              </w:rPr>
              <w:t>B</w:t>
            </w:r>
            <w:r w:rsidRPr="00AB24F3">
              <w:rPr>
                <w:lang w:val="en-US"/>
              </w:rPr>
              <w:t xml:space="preserve"> (Breathing): The frequency and depth of breathing. Based on the principle of see, hear, feel.</w:t>
            </w:r>
          </w:p>
          <w:p w14:paraId="0AC8A687" w14:textId="6AF9F5D7" w:rsidR="0050090D" w:rsidRPr="00AB24F3" w:rsidRDefault="0050090D" w:rsidP="00B81DD1">
            <w:pPr>
              <w:jc w:val="both"/>
              <w:rPr>
                <w:lang w:val="en-US"/>
              </w:rPr>
            </w:pPr>
            <w:r w:rsidRPr="00DC1C43">
              <w:rPr>
                <w:b/>
                <w:bCs/>
                <w:lang w:val="en-US"/>
              </w:rPr>
              <w:t xml:space="preserve">C </w:t>
            </w:r>
            <w:r w:rsidRPr="00AB24F3">
              <w:rPr>
                <w:lang w:val="en-US"/>
              </w:rPr>
              <w:t>(Circulation): Manual pulse (symmetry, frequency, rhythm, height, volume, tension, pulse wave shape), blood pressure</w:t>
            </w:r>
            <w:r w:rsidR="00DC1C43">
              <w:rPr>
                <w:lang w:val="en-US"/>
              </w:rPr>
              <w:t xml:space="preserve"> </w:t>
            </w:r>
            <w:r w:rsidRPr="00AB24F3">
              <w:rPr>
                <w:color w:val="000000"/>
                <w:lang w:val="en-US"/>
              </w:rPr>
              <w:t>(for hypotension - Trendelenburg position).</w:t>
            </w:r>
          </w:p>
          <w:p w14:paraId="4EA94EE0" w14:textId="77777777" w:rsidR="0050090D" w:rsidRPr="00AB24F3" w:rsidRDefault="0050090D" w:rsidP="00B81DD1">
            <w:pPr>
              <w:jc w:val="both"/>
              <w:rPr>
                <w:lang w:val="en-US"/>
              </w:rPr>
            </w:pPr>
            <w:r w:rsidRPr="00DC1C43">
              <w:rPr>
                <w:b/>
                <w:bCs/>
                <w:lang w:val="en-US"/>
              </w:rPr>
              <w:t>D</w:t>
            </w:r>
            <w:r w:rsidRPr="00AB24F3">
              <w:rPr>
                <w:lang w:val="en-US"/>
              </w:rPr>
              <w:t xml:space="preserve"> (Disability): Level of consciousness (AVPU scale).</w:t>
            </w:r>
          </w:p>
          <w:p w14:paraId="5043CC4E" w14:textId="77777777" w:rsidR="0050090D" w:rsidRPr="00AB24F3" w:rsidRDefault="0050090D" w:rsidP="00B81DD1">
            <w:pPr>
              <w:jc w:val="both"/>
              <w:rPr>
                <w:lang w:val="en-US"/>
              </w:rPr>
            </w:pPr>
            <w:r w:rsidRPr="00DC1C43">
              <w:rPr>
                <w:b/>
                <w:bCs/>
                <w:lang w:val="en-US"/>
              </w:rPr>
              <w:t>E</w:t>
            </w:r>
            <w:r w:rsidRPr="00AB24F3">
              <w:rPr>
                <w:lang w:val="en-US"/>
              </w:rPr>
              <w:t xml:space="preserve"> (Exposure): Complete external examination (urticaria, swelling).</w:t>
            </w:r>
          </w:p>
        </w:tc>
      </w:tr>
      <w:tr w:rsidR="0050090D" w:rsidRPr="008B40F9" w14:paraId="137AE714" w14:textId="77777777" w:rsidTr="00FC3434">
        <w:trPr>
          <w:trHeight w:val="645"/>
        </w:trPr>
        <w:tc>
          <w:tcPr>
            <w:tcW w:w="360" w:type="dxa"/>
          </w:tcPr>
          <w:p w14:paraId="5C6B13E0" w14:textId="77777777" w:rsidR="0050090D" w:rsidRDefault="0050090D" w:rsidP="00FC3434">
            <w:pPr>
              <w:ind w:right="-879"/>
            </w:pPr>
            <w:r>
              <w:t>3</w:t>
            </w:r>
          </w:p>
        </w:tc>
        <w:tc>
          <w:tcPr>
            <w:tcW w:w="2805" w:type="dxa"/>
          </w:tcPr>
          <w:p w14:paraId="12E657B0" w14:textId="77777777" w:rsidR="0050090D" w:rsidRPr="00AB24F3" w:rsidRDefault="0050090D" w:rsidP="00B81DD1">
            <w:pPr>
              <w:tabs>
                <w:tab w:val="left" w:pos="2445"/>
                <w:tab w:val="left" w:pos="3312"/>
              </w:tabs>
              <w:ind w:right="28"/>
              <w:jc w:val="both"/>
              <w:rPr>
                <w:lang w:val="en-US"/>
              </w:rPr>
            </w:pPr>
            <w:r w:rsidRPr="00AB24F3">
              <w:rPr>
                <w:lang w:val="en-US"/>
              </w:rPr>
              <w:t>Calling an ambulance/resuscitation team</w:t>
            </w:r>
          </w:p>
        </w:tc>
        <w:tc>
          <w:tcPr>
            <w:tcW w:w="7035" w:type="dxa"/>
          </w:tcPr>
          <w:p w14:paraId="29BEB037" w14:textId="77777777" w:rsidR="0050090D" w:rsidRPr="00AB24F3" w:rsidRDefault="0050090D" w:rsidP="00B81DD1">
            <w:pPr>
              <w:jc w:val="both"/>
              <w:rPr>
                <w:lang w:val="en-US"/>
              </w:rPr>
            </w:pPr>
            <w:r w:rsidRPr="00AB24F3">
              <w:rPr>
                <w:lang w:val="en-US"/>
              </w:rPr>
              <w:t>Code "Blue" in hospital or call 103.</w:t>
            </w:r>
          </w:p>
        </w:tc>
      </w:tr>
      <w:tr w:rsidR="0050090D" w:rsidRPr="008B40F9" w14:paraId="56E527FF" w14:textId="77777777" w:rsidTr="00FC3434">
        <w:trPr>
          <w:trHeight w:val="1419"/>
        </w:trPr>
        <w:tc>
          <w:tcPr>
            <w:tcW w:w="360" w:type="dxa"/>
          </w:tcPr>
          <w:p w14:paraId="6CFFAD79" w14:textId="77777777" w:rsidR="0050090D" w:rsidRDefault="0050090D" w:rsidP="00FC3434">
            <w:pPr>
              <w:ind w:right="-879"/>
            </w:pPr>
            <w:r>
              <w:t>4</w:t>
            </w:r>
          </w:p>
        </w:tc>
        <w:tc>
          <w:tcPr>
            <w:tcW w:w="2805" w:type="dxa"/>
          </w:tcPr>
          <w:p w14:paraId="27AEF88A" w14:textId="77777777" w:rsidR="0050090D" w:rsidRPr="00AB24F3" w:rsidRDefault="0050090D" w:rsidP="00B81DD1">
            <w:pPr>
              <w:tabs>
                <w:tab w:val="left" w:pos="2445"/>
                <w:tab w:val="left" w:pos="3312"/>
              </w:tabs>
              <w:ind w:right="28"/>
              <w:jc w:val="both"/>
              <w:rPr>
                <w:lang w:val="en-US"/>
              </w:rPr>
            </w:pPr>
            <w:r w:rsidRPr="00AB24F3">
              <w:rPr>
                <w:lang w:val="en-US"/>
              </w:rPr>
              <w:t>Intramuscular administration of adrenaline (epinephrine)</w:t>
            </w:r>
          </w:p>
        </w:tc>
        <w:tc>
          <w:tcPr>
            <w:tcW w:w="7035" w:type="dxa"/>
          </w:tcPr>
          <w:p w14:paraId="7E818A17" w14:textId="77777777" w:rsidR="0050090D" w:rsidRPr="00AB24F3" w:rsidRDefault="0050090D" w:rsidP="00B81DD1">
            <w:pPr>
              <w:jc w:val="both"/>
              <w:rPr>
                <w:lang w:val="en-US"/>
              </w:rPr>
            </w:pPr>
            <w:r w:rsidRPr="00AB24F3">
              <w:rPr>
                <w:lang w:val="en-US"/>
              </w:rPr>
              <w:t>Adults and children over 12 years: 0.5 mg (0.1% solution) intramuscularly in the lateral thigh.</w:t>
            </w:r>
          </w:p>
          <w:p w14:paraId="4A9B8AE4" w14:textId="77777777" w:rsidR="0050090D" w:rsidRPr="00AB24F3" w:rsidRDefault="0050090D" w:rsidP="00B81DD1">
            <w:pPr>
              <w:jc w:val="both"/>
              <w:rPr>
                <w:lang w:val="en-US"/>
              </w:rPr>
            </w:pPr>
            <w:r w:rsidRPr="00AB24F3">
              <w:rPr>
                <w:lang w:val="en-US"/>
              </w:rPr>
              <w:t>Repeat after 5–10 minutes if there is no effect.</w:t>
            </w:r>
          </w:p>
          <w:p w14:paraId="4C2C3474" w14:textId="77777777" w:rsidR="0050090D" w:rsidRPr="00AB24F3" w:rsidRDefault="0050090D" w:rsidP="00B81DD1">
            <w:pPr>
              <w:jc w:val="both"/>
              <w:rPr>
                <w:lang w:val="en-US"/>
              </w:rPr>
            </w:pPr>
            <w:r w:rsidRPr="00AB24F3">
              <w:rPr>
                <w:lang w:val="en-US"/>
              </w:rPr>
              <w:t>If venous access is available, trained personnel can immediately begin administering IV epinephrine at protocol doses.</w:t>
            </w:r>
          </w:p>
        </w:tc>
      </w:tr>
      <w:tr w:rsidR="0050090D" w14:paraId="4D4EDB5D" w14:textId="77777777" w:rsidTr="00FC3434">
        <w:tc>
          <w:tcPr>
            <w:tcW w:w="360" w:type="dxa"/>
          </w:tcPr>
          <w:p w14:paraId="303C4405" w14:textId="77777777" w:rsidR="0050090D" w:rsidRDefault="0050090D" w:rsidP="00FC3434">
            <w:pPr>
              <w:ind w:right="-879"/>
            </w:pPr>
            <w:r>
              <w:t>5</w:t>
            </w:r>
          </w:p>
        </w:tc>
        <w:tc>
          <w:tcPr>
            <w:tcW w:w="2805" w:type="dxa"/>
          </w:tcPr>
          <w:p w14:paraId="130A3A41" w14:textId="77777777" w:rsidR="0050090D" w:rsidRDefault="0050090D" w:rsidP="00B81DD1">
            <w:pPr>
              <w:tabs>
                <w:tab w:val="left" w:pos="2445"/>
                <w:tab w:val="left" w:pos="3312"/>
              </w:tabs>
              <w:ind w:right="28"/>
              <w:jc w:val="both"/>
            </w:pPr>
            <w:proofErr w:type="spellStart"/>
            <w:r>
              <w:t>Providing</w:t>
            </w:r>
            <w:proofErr w:type="spellEnd"/>
            <w:r>
              <w:t xml:space="preserve"> </w:t>
            </w:r>
            <w:proofErr w:type="spellStart"/>
            <w:r>
              <w:t>venous</w:t>
            </w:r>
            <w:proofErr w:type="spellEnd"/>
            <w:r>
              <w:t xml:space="preserve"> </w:t>
            </w:r>
            <w:proofErr w:type="spellStart"/>
            <w:r>
              <w:t>access</w:t>
            </w:r>
            <w:proofErr w:type="spellEnd"/>
          </w:p>
        </w:tc>
        <w:tc>
          <w:tcPr>
            <w:tcW w:w="7035" w:type="dxa"/>
          </w:tcPr>
          <w:p w14:paraId="0A697934" w14:textId="77777777" w:rsidR="0050090D" w:rsidRDefault="0050090D" w:rsidP="00B81DD1">
            <w:pPr>
              <w:jc w:val="both"/>
            </w:pPr>
            <w:proofErr w:type="spellStart"/>
            <w:r>
              <w:t>Insert</w:t>
            </w:r>
            <w:proofErr w:type="spellEnd"/>
            <w:r>
              <w:t xml:space="preserve"> a </w:t>
            </w:r>
            <w:proofErr w:type="spellStart"/>
            <w:r>
              <w:t>peripheral</w:t>
            </w:r>
            <w:proofErr w:type="spellEnd"/>
            <w:r>
              <w:t xml:space="preserve"> </w:t>
            </w:r>
            <w:proofErr w:type="spellStart"/>
            <w:r>
              <w:t>catheter</w:t>
            </w:r>
            <w:proofErr w:type="spellEnd"/>
            <w:r>
              <w:t>.</w:t>
            </w:r>
          </w:p>
          <w:p w14:paraId="0B5B6C1A" w14:textId="77777777" w:rsidR="0050090D" w:rsidRDefault="0050090D" w:rsidP="00B81DD1">
            <w:pPr>
              <w:jc w:val="both"/>
            </w:pPr>
          </w:p>
        </w:tc>
      </w:tr>
      <w:tr w:rsidR="0050090D" w:rsidRPr="008B40F9" w14:paraId="4D1A2093" w14:textId="77777777" w:rsidTr="00FC3434">
        <w:tc>
          <w:tcPr>
            <w:tcW w:w="360" w:type="dxa"/>
          </w:tcPr>
          <w:p w14:paraId="65426848" w14:textId="77777777" w:rsidR="0050090D" w:rsidRDefault="0050090D" w:rsidP="00FC3434">
            <w:pPr>
              <w:ind w:right="-879"/>
            </w:pPr>
            <w:r>
              <w:t>6</w:t>
            </w:r>
          </w:p>
        </w:tc>
        <w:tc>
          <w:tcPr>
            <w:tcW w:w="2805" w:type="dxa"/>
          </w:tcPr>
          <w:p w14:paraId="3FA788C5" w14:textId="77777777" w:rsidR="0050090D" w:rsidRPr="00DC1C43" w:rsidRDefault="0050090D" w:rsidP="00B81DD1">
            <w:pPr>
              <w:tabs>
                <w:tab w:val="left" w:pos="1642"/>
                <w:tab w:val="left" w:pos="2445"/>
              </w:tabs>
              <w:ind w:right="28"/>
              <w:jc w:val="both"/>
              <w:rPr>
                <w:bCs/>
              </w:rPr>
            </w:pPr>
            <w:proofErr w:type="spellStart"/>
            <w:r w:rsidRPr="00DC1C43">
              <w:rPr>
                <w:bCs/>
              </w:rPr>
              <w:t>Infusion</w:t>
            </w:r>
            <w:proofErr w:type="spellEnd"/>
            <w:r w:rsidRPr="00DC1C43">
              <w:rPr>
                <w:bCs/>
              </w:rPr>
              <w:t xml:space="preserve"> </w:t>
            </w:r>
            <w:proofErr w:type="spellStart"/>
            <w:r w:rsidRPr="00DC1C43">
              <w:rPr>
                <w:bCs/>
              </w:rPr>
              <w:t>therapy</w:t>
            </w:r>
            <w:proofErr w:type="spellEnd"/>
          </w:p>
        </w:tc>
        <w:tc>
          <w:tcPr>
            <w:tcW w:w="7035" w:type="dxa"/>
          </w:tcPr>
          <w:p w14:paraId="1936B5A6" w14:textId="77777777" w:rsidR="0050090D" w:rsidRPr="00AB24F3" w:rsidRDefault="0050090D" w:rsidP="00B81DD1">
            <w:pPr>
              <w:jc w:val="both"/>
              <w:rPr>
                <w:b/>
                <w:i/>
                <w:lang w:val="en-US"/>
              </w:rPr>
            </w:pPr>
            <w:r w:rsidRPr="00AB24F3">
              <w:rPr>
                <w:b/>
                <w:i/>
                <w:lang w:val="en-US"/>
              </w:rPr>
              <w:t>0.9% NaCl:</w:t>
            </w:r>
          </w:p>
          <w:p w14:paraId="4A76DD71" w14:textId="061997FA" w:rsidR="0050090D" w:rsidRPr="00AB24F3" w:rsidRDefault="0050090D" w:rsidP="00B81DD1">
            <w:pPr>
              <w:jc w:val="both"/>
              <w:rPr>
                <w:lang w:val="en-US"/>
              </w:rPr>
            </w:pPr>
            <w:r w:rsidRPr="00AB24F3">
              <w:rPr>
                <w:lang w:val="en-US"/>
              </w:rPr>
              <w:t>Adults: 500–1000 ml for normotension, 1000–2000 ml for hypotension. If there is a history of heart failure, no more than 250 ml over 5–10 minutes.</w:t>
            </w:r>
          </w:p>
        </w:tc>
      </w:tr>
      <w:tr w:rsidR="0050090D" w14:paraId="31A1BE57" w14:textId="77777777" w:rsidTr="00FC3434">
        <w:tc>
          <w:tcPr>
            <w:tcW w:w="360" w:type="dxa"/>
          </w:tcPr>
          <w:p w14:paraId="7E609026" w14:textId="77777777" w:rsidR="0050090D" w:rsidRDefault="0050090D" w:rsidP="00FC3434">
            <w:pPr>
              <w:ind w:right="-879"/>
            </w:pPr>
            <w:r>
              <w:t>7</w:t>
            </w:r>
          </w:p>
        </w:tc>
        <w:tc>
          <w:tcPr>
            <w:tcW w:w="2805" w:type="dxa"/>
          </w:tcPr>
          <w:p w14:paraId="5986FF75" w14:textId="77777777" w:rsidR="0050090D" w:rsidRPr="00AB24F3" w:rsidRDefault="0050090D" w:rsidP="00B81DD1">
            <w:pPr>
              <w:tabs>
                <w:tab w:val="left" w:pos="1931"/>
                <w:tab w:val="left" w:pos="2445"/>
              </w:tabs>
              <w:spacing w:line="0" w:lineRule="atLeast"/>
              <w:ind w:right="28"/>
              <w:jc w:val="both"/>
              <w:rPr>
                <w:lang w:val="en-US"/>
              </w:rPr>
            </w:pPr>
            <w:r w:rsidRPr="00AB24F3">
              <w:rPr>
                <w:lang w:val="en-US"/>
              </w:rPr>
              <w:t>Hormonal</w:t>
            </w:r>
          </w:p>
          <w:p w14:paraId="2B031CDF" w14:textId="77777777" w:rsidR="0050090D" w:rsidRPr="00AB24F3" w:rsidRDefault="002A68BE" w:rsidP="00B81DD1">
            <w:pPr>
              <w:tabs>
                <w:tab w:val="left" w:pos="1931"/>
                <w:tab w:val="left" w:pos="2445"/>
              </w:tabs>
              <w:spacing w:line="0" w:lineRule="atLeast"/>
              <w:ind w:right="28"/>
              <w:jc w:val="both"/>
              <w:rPr>
                <w:lang w:val="en-US"/>
              </w:rPr>
            </w:pPr>
            <w:r w:rsidRPr="00AB24F3">
              <w:rPr>
                <w:lang w:val="en-US"/>
              </w:rPr>
              <w:t>Therapy (one of</w:t>
            </w:r>
          </w:p>
          <w:p w14:paraId="31776A09" w14:textId="77777777" w:rsidR="0050090D" w:rsidRPr="00AB24F3" w:rsidRDefault="0050090D" w:rsidP="00B81DD1">
            <w:pPr>
              <w:tabs>
                <w:tab w:val="left" w:pos="1931"/>
                <w:tab w:val="left" w:pos="2445"/>
              </w:tabs>
              <w:spacing w:line="0" w:lineRule="atLeast"/>
              <w:ind w:right="28"/>
              <w:jc w:val="both"/>
              <w:rPr>
                <w:lang w:val="en-US"/>
              </w:rPr>
            </w:pPr>
            <w:r w:rsidRPr="00AB24F3">
              <w:rPr>
                <w:lang w:val="en-US"/>
              </w:rPr>
              <w:t>listed)</w:t>
            </w:r>
          </w:p>
        </w:tc>
        <w:tc>
          <w:tcPr>
            <w:tcW w:w="7035" w:type="dxa"/>
          </w:tcPr>
          <w:p w14:paraId="4D2B98A3" w14:textId="77777777" w:rsidR="0050090D" w:rsidRPr="00AB24F3" w:rsidRDefault="0050090D" w:rsidP="00B81DD1">
            <w:pPr>
              <w:jc w:val="both"/>
              <w:rPr>
                <w:lang w:val="en-US"/>
              </w:rPr>
            </w:pPr>
            <w:r w:rsidRPr="00AB24F3">
              <w:rPr>
                <w:color w:val="000000"/>
                <w:lang w:val="en-US"/>
              </w:rPr>
              <w:t>Glucocorticoids:</w:t>
            </w:r>
          </w:p>
          <w:p w14:paraId="1C8B75FD" w14:textId="77777777" w:rsidR="0050090D" w:rsidRPr="00AB24F3" w:rsidRDefault="0050090D" w:rsidP="00B81DD1">
            <w:pPr>
              <w:jc w:val="both"/>
              <w:rPr>
                <w:color w:val="000000"/>
                <w:lang w:val="en-US"/>
              </w:rPr>
            </w:pPr>
            <w:r w:rsidRPr="00DC1C43">
              <w:rPr>
                <w:b/>
                <w:bCs/>
                <w:color w:val="000000"/>
                <w:lang w:val="en-US"/>
              </w:rPr>
              <w:t>Prednisolone</w:t>
            </w:r>
            <w:r w:rsidRPr="00AB24F3">
              <w:rPr>
                <w:color w:val="000000"/>
                <w:lang w:val="en-US"/>
              </w:rPr>
              <w:t xml:space="preserve"> (max 120 mg)</w:t>
            </w:r>
          </w:p>
          <w:p w14:paraId="2D3A3D68" w14:textId="77777777" w:rsidR="0050090D" w:rsidRPr="00AB24F3" w:rsidRDefault="0050090D" w:rsidP="00B81DD1">
            <w:pPr>
              <w:jc w:val="both"/>
              <w:rPr>
                <w:lang w:val="en-US"/>
              </w:rPr>
            </w:pPr>
            <w:r w:rsidRPr="00AB24F3">
              <w:rPr>
                <w:lang w:val="en-US"/>
              </w:rPr>
              <w:t xml:space="preserve">or </w:t>
            </w:r>
            <w:r w:rsidRPr="00DC1C43">
              <w:rPr>
                <w:b/>
                <w:bCs/>
                <w:lang w:val="en-US"/>
              </w:rPr>
              <w:t>Hydrocortisone</w:t>
            </w:r>
            <w:r w:rsidRPr="00AB24F3">
              <w:rPr>
                <w:lang w:val="en-US"/>
              </w:rPr>
              <w:t xml:space="preserve"> (IM or slowly IV):</w:t>
            </w:r>
          </w:p>
          <w:p w14:paraId="2E529819" w14:textId="77777777" w:rsidR="0050090D" w:rsidRDefault="0050090D" w:rsidP="00B81DD1">
            <w:pPr>
              <w:jc w:val="both"/>
              <w:rPr>
                <w:b/>
                <w:i/>
              </w:rPr>
            </w:pPr>
            <w:r w:rsidRPr="001E645D">
              <w:t xml:space="preserve">12 </w:t>
            </w:r>
            <w:proofErr w:type="spellStart"/>
            <w:r w:rsidRPr="001E645D">
              <w:t>years</w:t>
            </w:r>
            <w:proofErr w:type="spellEnd"/>
            <w:r w:rsidRPr="001E645D">
              <w:t xml:space="preserve"> </w:t>
            </w:r>
            <w:proofErr w:type="spellStart"/>
            <w:r w:rsidRPr="001E645D">
              <w:t>and</w:t>
            </w:r>
            <w:proofErr w:type="spellEnd"/>
            <w:r w:rsidRPr="001E645D">
              <w:t xml:space="preserve"> </w:t>
            </w:r>
            <w:proofErr w:type="spellStart"/>
            <w:r w:rsidRPr="001E645D">
              <w:t>older</w:t>
            </w:r>
            <w:proofErr w:type="spellEnd"/>
            <w:r w:rsidRPr="001E645D">
              <w:t xml:space="preserve"> – 200 </w:t>
            </w:r>
            <w:proofErr w:type="spellStart"/>
            <w:r w:rsidRPr="001E645D">
              <w:t>mg</w:t>
            </w:r>
            <w:proofErr w:type="spellEnd"/>
          </w:p>
        </w:tc>
      </w:tr>
      <w:tr w:rsidR="0050090D" w:rsidRPr="008B40F9" w14:paraId="667F9FE9" w14:textId="77777777" w:rsidTr="00FC3434">
        <w:tc>
          <w:tcPr>
            <w:tcW w:w="360" w:type="dxa"/>
          </w:tcPr>
          <w:p w14:paraId="250FDF7B" w14:textId="77777777" w:rsidR="0050090D" w:rsidRDefault="0050090D" w:rsidP="00FC3434">
            <w:pPr>
              <w:ind w:right="-879"/>
            </w:pPr>
            <w:r>
              <w:t>8</w:t>
            </w:r>
          </w:p>
        </w:tc>
        <w:tc>
          <w:tcPr>
            <w:tcW w:w="2805" w:type="dxa"/>
          </w:tcPr>
          <w:p w14:paraId="6CFD3D49" w14:textId="77777777" w:rsidR="0050090D" w:rsidRPr="00DC1C43" w:rsidRDefault="0050090D" w:rsidP="00B81DD1">
            <w:pPr>
              <w:tabs>
                <w:tab w:val="left" w:pos="1642"/>
                <w:tab w:val="left" w:pos="2445"/>
              </w:tabs>
              <w:ind w:right="28"/>
              <w:jc w:val="both"/>
              <w:rPr>
                <w:bCs/>
              </w:rPr>
            </w:pPr>
            <w:proofErr w:type="spellStart"/>
            <w:r w:rsidRPr="00DC1C43">
              <w:rPr>
                <w:bCs/>
              </w:rPr>
              <w:t>Complementary</w:t>
            </w:r>
            <w:proofErr w:type="spellEnd"/>
            <w:r w:rsidRPr="00DC1C43">
              <w:rPr>
                <w:bCs/>
              </w:rPr>
              <w:t xml:space="preserve"> </w:t>
            </w:r>
            <w:proofErr w:type="spellStart"/>
            <w:r w:rsidRPr="00DC1C43">
              <w:rPr>
                <w:bCs/>
              </w:rPr>
              <w:t>therapy</w:t>
            </w:r>
            <w:proofErr w:type="spellEnd"/>
          </w:p>
        </w:tc>
        <w:tc>
          <w:tcPr>
            <w:tcW w:w="7035" w:type="dxa"/>
          </w:tcPr>
          <w:p w14:paraId="4A24FDEC" w14:textId="77777777" w:rsidR="0050090D" w:rsidRPr="00AB24F3" w:rsidRDefault="0050090D" w:rsidP="00B81DD1">
            <w:pPr>
              <w:jc w:val="both"/>
              <w:rPr>
                <w:lang w:val="en-US"/>
              </w:rPr>
            </w:pPr>
            <w:r w:rsidRPr="00AB24F3">
              <w:rPr>
                <w:lang w:val="en-US"/>
              </w:rPr>
              <w:t>After blood pressure has stabilized, if there are manifestations on the skin and mucous membranes, we administer antihistamines:</w:t>
            </w:r>
          </w:p>
          <w:p w14:paraId="082E2FDD" w14:textId="7EFBC960" w:rsidR="0050090D" w:rsidRPr="00AB24F3" w:rsidRDefault="0050090D" w:rsidP="00B81DD1">
            <w:pPr>
              <w:jc w:val="both"/>
              <w:rPr>
                <w:lang w:val="en-US"/>
              </w:rPr>
            </w:pPr>
            <w:r w:rsidRPr="00DC1C43">
              <w:rPr>
                <w:b/>
                <w:bCs/>
                <w:lang w:val="en-US"/>
              </w:rPr>
              <w:t>Diphenhydramine</w:t>
            </w:r>
            <w:r w:rsidRPr="00AB24F3">
              <w:rPr>
                <w:lang w:val="en-US"/>
              </w:rPr>
              <w:t xml:space="preserve"> 1% for adults: 25-50 mg, for children 1 mg/kg, maximum 50 mg administered intravenously or intramuscularly slowly</w:t>
            </w:r>
            <w:r w:rsidR="00DC1C43">
              <w:rPr>
                <w:lang w:val="en-US"/>
              </w:rPr>
              <w:t>.</w:t>
            </w:r>
          </w:p>
          <w:p w14:paraId="6EEEDEB0" w14:textId="77777777" w:rsidR="0050090D" w:rsidRPr="00AB24F3" w:rsidRDefault="0050090D" w:rsidP="00B81DD1">
            <w:pPr>
              <w:jc w:val="both"/>
              <w:rPr>
                <w:lang w:val="en-US"/>
              </w:rPr>
            </w:pPr>
            <w:r w:rsidRPr="00AB24F3">
              <w:rPr>
                <w:lang w:val="en-US"/>
              </w:rPr>
              <w:t xml:space="preserve">If saturation is below 90%, provide </w:t>
            </w:r>
            <w:r w:rsidRPr="00DC1C43">
              <w:rPr>
                <w:b/>
                <w:bCs/>
                <w:lang w:val="en-US"/>
              </w:rPr>
              <w:t xml:space="preserve">oxygen </w:t>
            </w:r>
            <w:r w:rsidRPr="00AB24F3">
              <w:rPr>
                <w:lang w:val="en-US"/>
              </w:rPr>
              <w:t>flow through a face mask to correct hypoxemia.</w:t>
            </w:r>
          </w:p>
          <w:p w14:paraId="5CE208FC" w14:textId="77777777" w:rsidR="0050090D" w:rsidRPr="00AB24F3" w:rsidRDefault="0050090D" w:rsidP="00B81DD1">
            <w:pPr>
              <w:jc w:val="both"/>
              <w:rPr>
                <w:lang w:val="en-US"/>
              </w:rPr>
            </w:pPr>
            <w:r w:rsidRPr="00AB24F3">
              <w:rPr>
                <w:lang w:val="en-US"/>
              </w:rPr>
              <w:t xml:space="preserve">If bronchospasm persists despite the administration of epinephrine, we administer a solution of </w:t>
            </w:r>
            <w:r w:rsidRPr="00DC1C43">
              <w:rPr>
                <w:b/>
                <w:bCs/>
                <w:lang w:val="en-US"/>
              </w:rPr>
              <w:t>salbutamol</w:t>
            </w:r>
            <w:r w:rsidRPr="00AB24F3">
              <w:rPr>
                <w:lang w:val="en-US"/>
              </w:rPr>
              <w:t xml:space="preserve"> through a nebulizer at 2.5 mg/2.5 ml.</w:t>
            </w:r>
          </w:p>
        </w:tc>
      </w:tr>
      <w:tr w:rsidR="0050090D" w:rsidRPr="008B40F9" w14:paraId="2DC83598" w14:textId="77777777" w:rsidTr="00DC1C43">
        <w:trPr>
          <w:trHeight w:val="579"/>
        </w:trPr>
        <w:tc>
          <w:tcPr>
            <w:tcW w:w="360" w:type="dxa"/>
          </w:tcPr>
          <w:p w14:paraId="49268ADB" w14:textId="77777777" w:rsidR="0050090D" w:rsidRDefault="0050090D" w:rsidP="00FC3434">
            <w:pPr>
              <w:ind w:right="-879"/>
            </w:pPr>
            <w:r>
              <w:t>9</w:t>
            </w:r>
          </w:p>
          <w:p w14:paraId="66A9CBE6" w14:textId="77777777" w:rsidR="0050090D" w:rsidRDefault="0050090D" w:rsidP="00FC3434"/>
        </w:tc>
        <w:tc>
          <w:tcPr>
            <w:tcW w:w="2805" w:type="dxa"/>
          </w:tcPr>
          <w:p w14:paraId="1B001651" w14:textId="77777777" w:rsidR="0050090D" w:rsidRPr="00DC1C43" w:rsidRDefault="0050090D" w:rsidP="00B81DD1">
            <w:pPr>
              <w:tabs>
                <w:tab w:val="left" w:pos="1642"/>
                <w:tab w:val="left" w:pos="2445"/>
              </w:tabs>
              <w:ind w:right="28"/>
              <w:jc w:val="both"/>
              <w:rPr>
                <w:bCs/>
              </w:rPr>
            </w:pPr>
            <w:r w:rsidRPr="00DC1C43">
              <w:rPr>
                <w:bCs/>
              </w:rPr>
              <w:t xml:space="preserve">Monitoring </w:t>
            </w:r>
            <w:proofErr w:type="spellStart"/>
            <w:r w:rsidRPr="00DC1C43">
              <w:rPr>
                <w:bCs/>
              </w:rPr>
              <w:t>vital</w:t>
            </w:r>
            <w:proofErr w:type="spellEnd"/>
            <w:r w:rsidRPr="00DC1C43">
              <w:rPr>
                <w:bCs/>
              </w:rPr>
              <w:t xml:space="preserve"> </w:t>
            </w:r>
            <w:proofErr w:type="spellStart"/>
            <w:r w:rsidRPr="00DC1C43">
              <w:rPr>
                <w:bCs/>
              </w:rPr>
              <w:t>signs</w:t>
            </w:r>
            <w:proofErr w:type="spellEnd"/>
          </w:p>
        </w:tc>
        <w:tc>
          <w:tcPr>
            <w:tcW w:w="7035" w:type="dxa"/>
          </w:tcPr>
          <w:p w14:paraId="5111AA89" w14:textId="1EE7F75D" w:rsidR="0050090D" w:rsidRPr="00AB24F3" w:rsidRDefault="0050090D" w:rsidP="00B81DD1">
            <w:pPr>
              <w:jc w:val="both"/>
              <w:rPr>
                <w:lang w:val="en-US"/>
              </w:rPr>
            </w:pPr>
            <w:r w:rsidRPr="00AB24F3">
              <w:rPr>
                <w:lang w:val="en-US"/>
              </w:rPr>
              <w:t xml:space="preserve">Check every 5 minutes: blood pressure, pulse, </w:t>
            </w:r>
            <w:proofErr w:type="spellStart"/>
            <w:r w:rsidRPr="00AB24F3">
              <w:rPr>
                <w:lang w:val="en-US"/>
              </w:rPr>
              <w:t>SpO</w:t>
            </w:r>
            <w:proofErr w:type="spellEnd"/>
            <w:r w:rsidRPr="00AB24F3">
              <w:rPr>
                <w:lang w:val="en-US"/>
              </w:rPr>
              <w:t>₂, respiration.</w:t>
            </w:r>
          </w:p>
        </w:tc>
      </w:tr>
      <w:tr w:rsidR="0050090D" w:rsidRPr="008B40F9" w14:paraId="57F89FDD" w14:textId="77777777" w:rsidTr="00DC1C43">
        <w:trPr>
          <w:trHeight w:val="700"/>
        </w:trPr>
        <w:tc>
          <w:tcPr>
            <w:tcW w:w="360" w:type="dxa"/>
          </w:tcPr>
          <w:p w14:paraId="74BCCA4D" w14:textId="77777777" w:rsidR="0050090D" w:rsidRDefault="0050090D" w:rsidP="00FC3434">
            <w:pPr>
              <w:ind w:right="-879"/>
            </w:pPr>
            <w:r>
              <w:t>10</w:t>
            </w:r>
          </w:p>
        </w:tc>
        <w:tc>
          <w:tcPr>
            <w:tcW w:w="2805" w:type="dxa"/>
          </w:tcPr>
          <w:p w14:paraId="09A9F41F" w14:textId="77777777" w:rsidR="0050090D" w:rsidRPr="00DC1C43" w:rsidRDefault="0050090D" w:rsidP="00B81DD1">
            <w:pPr>
              <w:tabs>
                <w:tab w:val="left" w:pos="1642"/>
                <w:tab w:val="left" w:pos="2445"/>
              </w:tabs>
              <w:ind w:right="28"/>
              <w:jc w:val="both"/>
              <w:rPr>
                <w:bCs/>
              </w:rPr>
            </w:pPr>
            <w:proofErr w:type="spellStart"/>
            <w:r w:rsidRPr="00DC1C43">
              <w:rPr>
                <w:bCs/>
              </w:rPr>
              <w:t>Hospitalization</w:t>
            </w:r>
            <w:proofErr w:type="spellEnd"/>
          </w:p>
        </w:tc>
        <w:tc>
          <w:tcPr>
            <w:tcW w:w="7035" w:type="dxa"/>
          </w:tcPr>
          <w:p w14:paraId="5806FE62" w14:textId="77777777" w:rsidR="0050090D" w:rsidRPr="00AB24F3" w:rsidRDefault="0050090D" w:rsidP="00B81DD1">
            <w:pPr>
              <w:jc w:val="both"/>
              <w:rPr>
                <w:lang w:val="en-US"/>
              </w:rPr>
            </w:pPr>
            <w:r w:rsidRPr="00AB24F3">
              <w:rPr>
                <w:lang w:val="en-US"/>
              </w:rPr>
              <w:t>Indications: All cases of anaphylaxis.</w:t>
            </w:r>
          </w:p>
          <w:p w14:paraId="1F59ED7D" w14:textId="77777777" w:rsidR="0050090D" w:rsidRPr="00AB24F3" w:rsidRDefault="0050090D" w:rsidP="00B81DD1">
            <w:pPr>
              <w:jc w:val="both"/>
              <w:rPr>
                <w:lang w:val="en-US"/>
              </w:rPr>
            </w:pPr>
            <w:r w:rsidRPr="00AB24F3">
              <w:rPr>
                <w:lang w:val="en-US"/>
              </w:rPr>
              <w:t>Observation period: 12–24 hours (risk of biphasic reaction).</w:t>
            </w:r>
          </w:p>
        </w:tc>
      </w:tr>
    </w:tbl>
    <w:p w14:paraId="7819B7C0" w14:textId="77777777" w:rsidR="00E5375B" w:rsidRPr="00AB24F3" w:rsidRDefault="00E5375B">
      <w:pPr>
        <w:ind w:right="-879"/>
        <w:rPr>
          <w:b/>
          <w:lang w:val="en-US"/>
        </w:rPr>
      </w:pPr>
    </w:p>
    <w:p w14:paraId="1890AB33" w14:textId="77777777" w:rsidR="00395F17" w:rsidRPr="00380D9A" w:rsidRDefault="00395F17" w:rsidP="00D60389">
      <w:pPr>
        <w:ind w:right="-879"/>
        <w:jc w:val="center"/>
        <w:rPr>
          <w:b/>
          <w:lang w:val="en-US"/>
        </w:rPr>
      </w:pPr>
    </w:p>
    <w:p w14:paraId="264D10E5" w14:textId="77777777" w:rsidR="00395F17" w:rsidRPr="00380D9A" w:rsidRDefault="00395F17" w:rsidP="00D60389">
      <w:pPr>
        <w:ind w:right="-879"/>
        <w:jc w:val="center"/>
        <w:rPr>
          <w:b/>
          <w:lang w:val="en-US"/>
        </w:rPr>
      </w:pPr>
    </w:p>
    <w:sectPr w:rsidR="00395F17" w:rsidRPr="00380D9A">
      <w:headerReference w:type="default" r:id="rId7"/>
      <w:footerReference w:type="default" r:id="rId8"/>
      <w:pgSz w:w="11906" w:h="16838"/>
      <w:pgMar w:top="567" w:right="567" w:bottom="567" w:left="1134" w:header="454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E548C" w14:textId="77777777" w:rsidR="00292084" w:rsidRDefault="00292084">
      <w:r>
        <w:separator/>
      </w:r>
    </w:p>
  </w:endnote>
  <w:endnote w:type="continuationSeparator" w:id="0">
    <w:p w14:paraId="50EEF6E1" w14:textId="77777777" w:rsidR="00292084" w:rsidRDefault="00292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8C601" w14:textId="77777777" w:rsidR="00E5375B" w:rsidRDefault="00E5375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1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44503" w14:textId="77777777" w:rsidR="00292084" w:rsidRDefault="00292084">
      <w:r>
        <w:separator/>
      </w:r>
    </w:p>
  </w:footnote>
  <w:footnote w:type="continuationSeparator" w:id="0">
    <w:p w14:paraId="47E074AB" w14:textId="77777777" w:rsidR="00292084" w:rsidRDefault="00292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13A6C" w14:textId="77777777" w:rsidR="00E5375B" w:rsidRDefault="00E5375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f4"/>
      <w:tblW w:w="10174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178"/>
      <w:gridCol w:w="3735"/>
      <w:gridCol w:w="3537"/>
      <w:gridCol w:w="1724"/>
    </w:tblGrid>
    <w:tr w:rsidR="00E5375B" w:rsidRPr="008B40F9" w14:paraId="65C9CC30" w14:textId="77777777">
      <w:trPr>
        <w:trHeight w:val="553"/>
        <w:jc w:val="center"/>
      </w:trPr>
      <w:tc>
        <w:tcPr>
          <w:tcW w:w="1179" w:type="dxa"/>
          <w:vMerge w:val="restart"/>
        </w:tcPr>
        <w:p w14:paraId="77BB3632" w14:textId="77777777" w:rsidR="00E5375B" w:rsidRDefault="00E537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color w:val="000000"/>
              <w:sz w:val="6"/>
              <w:szCs w:val="6"/>
            </w:rPr>
          </w:pPr>
        </w:p>
        <w:p w14:paraId="641B0AD5" w14:textId="77777777" w:rsidR="00E5375B" w:rsidRDefault="00221A9B">
          <w:r>
            <w:rPr>
              <w:rFonts w:ascii="Tahoma" w:eastAsia="Tahoma" w:hAnsi="Tahoma" w:cs="Tahoma"/>
              <w:noProof/>
              <w:sz w:val="16"/>
              <w:szCs w:val="16"/>
            </w:rPr>
            <w:drawing>
              <wp:inline distT="0" distB="0" distL="0" distR="0" wp14:anchorId="0C47A1FE" wp14:editId="331E3BF4">
                <wp:extent cx="600075" cy="723900"/>
                <wp:effectExtent l="0" t="0" r="0" b="0"/>
                <wp:docPr id="5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0075" cy="7239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96" w:type="dxa"/>
          <w:gridSpan w:val="3"/>
        </w:tcPr>
        <w:p w14:paraId="7C7B7227" w14:textId="77777777" w:rsidR="00E5375B" w:rsidRDefault="00E5375B">
          <w:pPr>
            <w:ind w:left="51" w:hanging="5"/>
            <w:jc w:val="center"/>
            <w:rPr>
              <w:rFonts w:ascii="Tahoma" w:eastAsia="Tahoma" w:hAnsi="Tahoma" w:cs="Tahoma"/>
              <w:b/>
              <w:sz w:val="8"/>
              <w:szCs w:val="8"/>
            </w:rPr>
          </w:pPr>
        </w:p>
        <w:p w14:paraId="7255EF4A" w14:textId="0117A814" w:rsidR="00E5375B" w:rsidRPr="00304127" w:rsidRDefault="00304127" w:rsidP="003041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rFonts w:ascii="Tahoma" w:eastAsia="Tahoma" w:hAnsi="Tahoma" w:cs="Tahoma"/>
              <w:color w:val="000000"/>
              <w:sz w:val="8"/>
              <w:szCs w:val="8"/>
              <w:lang w:val="en-US"/>
            </w:rPr>
          </w:pPr>
          <w:r w:rsidRPr="00304127">
            <w:rPr>
              <w:rFonts w:eastAsia="Tahoma"/>
              <w:b/>
              <w:sz w:val="17"/>
              <w:szCs w:val="17"/>
              <w:lang w:val="en-US"/>
            </w:rPr>
            <w:t>NJSC "KAZAKH NATIONAL MEDICAL UNIVERSITY NAMED AFTER S.D. ASFENDIYAROV"</w:t>
          </w:r>
        </w:p>
      </w:tc>
    </w:tr>
    <w:tr w:rsidR="00E5375B" w14:paraId="3AC38BB4" w14:textId="77777777">
      <w:trPr>
        <w:trHeight w:val="236"/>
        <w:jc w:val="center"/>
      </w:trPr>
      <w:tc>
        <w:tcPr>
          <w:tcW w:w="1179" w:type="dxa"/>
          <w:vMerge/>
        </w:tcPr>
        <w:p w14:paraId="09AB3345" w14:textId="77777777" w:rsidR="00E5375B" w:rsidRPr="00304127" w:rsidRDefault="00E5375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ahoma" w:eastAsia="Tahoma" w:hAnsi="Tahoma" w:cs="Tahoma"/>
              <w:color w:val="000000"/>
              <w:sz w:val="8"/>
              <w:szCs w:val="8"/>
              <w:lang w:val="en-US"/>
            </w:rPr>
          </w:pPr>
        </w:p>
      </w:tc>
      <w:tc>
        <w:tcPr>
          <w:tcW w:w="3735" w:type="dxa"/>
          <w:vMerge w:val="restart"/>
          <w:vAlign w:val="center"/>
        </w:tcPr>
        <w:p w14:paraId="07DA8BC7" w14:textId="77777777" w:rsidR="00E5375B" w:rsidRDefault="00221A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rFonts w:ascii="Tahoma" w:eastAsia="Tahoma" w:hAnsi="Tahoma" w:cs="Tahoma"/>
              <w:color w:val="000000"/>
            </w:rPr>
          </w:pPr>
          <w:proofErr w:type="spellStart"/>
          <w:r>
            <w:rPr>
              <w:color w:val="000000"/>
              <w:sz w:val="17"/>
              <w:szCs w:val="17"/>
            </w:rPr>
            <w:t>Simulation</w:t>
          </w:r>
          <w:proofErr w:type="spellEnd"/>
          <w:r>
            <w:rPr>
              <w:color w:val="000000"/>
              <w:sz w:val="17"/>
              <w:szCs w:val="17"/>
            </w:rPr>
            <w:t xml:space="preserve"> Center</w:t>
          </w:r>
        </w:p>
      </w:tc>
      <w:tc>
        <w:tcPr>
          <w:tcW w:w="3537" w:type="dxa"/>
          <w:vMerge w:val="restart"/>
          <w:vAlign w:val="center"/>
        </w:tcPr>
        <w:p w14:paraId="6630FD20" w14:textId="390B325D" w:rsidR="00E5375B" w:rsidRPr="00380D9A" w:rsidRDefault="00380D9A">
          <w:pPr>
            <w:jc w:val="center"/>
            <w:rPr>
              <w:sz w:val="17"/>
              <w:szCs w:val="17"/>
              <w:lang w:val="en-US"/>
            </w:rPr>
          </w:pPr>
          <w:r>
            <w:rPr>
              <w:sz w:val="17"/>
              <w:szCs w:val="17"/>
              <w:lang w:val="en-US"/>
            </w:rPr>
            <w:t xml:space="preserve">Algorithm </w:t>
          </w:r>
        </w:p>
      </w:tc>
      <w:tc>
        <w:tcPr>
          <w:tcW w:w="1724" w:type="dxa"/>
        </w:tcPr>
        <w:p w14:paraId="006B986F" w14:textId="77777777" w:rsidR="00E5375B" w:rsidRDefault="00221A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color w:val="7030A0"/>
            </w:rPr>
          </w:pPr>
          <w:r>
            <w:rPr>
              <w:color w:val="7030A0"/>
              <w:sz w:val="17"/>
              <w:szCs w:val="17"/>
            </w:rPr>
            <w:t>Edition: 1</w:t>
          </w:r>
        </w:p>
      </w:tc>
    </w:tr>
    <w:tr w:rsidR="00E5375B" w14:paraId="38D83937" w14:textId="77777777">
      <w:trPr>
        <w:trHeight w:val="183"/>
        <w:jc w:val="center"/>
      </w:trPr>
      <w:tc>
        <w:tcPr>
          <w:tcW w:w="1179" w:type="dxa"/>
          <w:vMerge/>
        </w:tcPr>
        <w:p w14:paraId="7AD346C3" w14:textId="77777777" w:rsidR="00E5375B" w:rsidRDefault="00E5375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7030A0"/>
            </w:rPr>
          </w:pPr>
        </w:p>
      </w:tc>
      <w:tc>
        <w:tcPr>
          <w:tcW w:w="3735" w:type="dxa"/>
          <w:vMerge/>
          <w:vAlign w:val="center"/>
        </w:tcPr>
        <w:p w14:paraId="164EB25C" w14:textId="77777777" w:rsidR="00E5375B" w:rsidRDefault="00E5375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7030A0"/>
            </w:rPr>
          </w:pPr>
        </w:p>
      </w:tc>
      <w:tc>
        <w:tcPr>
          <w:tcW w:w="3537" w:type="dxa"/>
          <w:vMerge/>
          <w:vAlign w:val="center"/>
        </w:tcPr>
        <w:p w14:paraId="641D2F4A" w14:textId="77777777" w:rsidR="00E5375B" w:rsidRDefault="00E5375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7030A0"/>
            </w:rPr>
          </w:pPr>
        </w:p>
      </w:tc>
      <w:tc>
        <w:tcPr>
          <w:tcW w:w="1724" w:type="dxa"/>
        </w:tcPr>
        <w:p w14:paraId="4EAC08BE" w14:textId="6C5FF9AA" w:rsidR="00E5375B" w:rsidRDefault="00221A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color w:val="7030A0"/>
              <w:sz w:val="17"/>
              <w:szCs w:val="17"/>
            </w:rPr>
          </w:pPr>
          <w:r>
            <w:rPr>
              <w:color w:val="7030A0"/>
              <w:sz w:val="17"/>
              <w:szCs w:val="17"/>
            </w:rPr>
            <w:t>Page</w:t>
          </w:r>
          <w:r>
            <w:rPr>
              <w:color w:val="7030A0"/>
              <w:sz w:val="17"/>
              <w:szCs w:val="17"/>
            </w:rPr>
            <w:fldChar w:fldCharType="begin"/>
          </w:r>
          <w:r>
            <w:rPr>
              <w:color w:val="7030A0"/>
              <w:sz w:val="17"/>
              <w:szCs w:val="17"/>
            </w:rPr>
            <w:instrText>PAGE</w:instrText>
          </w:r>
          <w:r>
            <w:rPr>
              <w:color w:val="7030A0"/>
              <w:sz w:val="17"/>
              <w:szCs w:val="17"/>
            </w:rPr>
            <w:fldChar w:fldCharType="separate"/>
          </w:r>
          <w:r w:rsidR="0013436B">
            <w:rPr>
              <w:noProof/>
              <w:color w:val="7030A0"/>
              <w:sz w:val="17"/>
              <w:szCs w:val="17"/>
            </w:rPr>
            <w:t>1</w:t>
          </w:r>
          <w:r>
            <w:rPr>
              <w:color w:val="7030A0"/>
              <w:sz w:val="17"/>
              <w:szCs w:val="17"/>
            </w:rPr>
            <w:fldChar w:fldCharType="end"/>
          </w:r>
          <w:r w:rsidR="00304127">
            <w:rPr>
              <w:color w:val="7030A0"/>
              <w:sz w:val="17"/>
              <w:szCs w:val="17"/>
              <w:lang w:val="en-US"/>
            </w:rPr>
            <w:t xml:space="preserve"> </w:t>
          </w:r>
          <w:proofErr w:type="spellStart"/>
          <w:r>
            <w:rPr>
              <w:color w:val="7030A0"/>
              <w:sz w:val="17"/>
              <w:szCs w:val="17"/>
            </w:rPr>
            <w:t>from</w:t>
          </w:r>
          <w:proofErr w:type="spellEnd"/>
          <w:r w:rsidR="00304127">
            <w:rPr>
              <w:color w:val="7030A0"/>
              <w:sz w:val="17"/>
              <w:szCs w:val="17"/>
              <w:lang w:val="en-US"/>
            </w:rPr>
            <w:t xml:space="preserve"> </w:t>
          </w:r>
          <w:r w:rsidRPr="00B926BE">
            <w:rPr>
              <w:color w:val="000000"/>
              <w:sz w:val="17"/>
              <w:szCs w:val="17"/>
            </w:rPr>
            <w:fldChar w:fldCharType="begin"/>
          </w:r>
          <w:r w:rsidRPr="00B926BE">
            <w:rPr>
              <w:color w:val="000000"/>
              <w:sz w:val="17"/>
              <w:szCs w:val="17"/>
            </w:rPr>
            <w:instrText>NUMPAGES</w:instrText>
          </w:r>
          <w:r w:rsidRPr="00B926BE">
            <w:rPr>
              <w:color w:val="000000"/>
              <w:sz w:val="17"/>
              <w:szCs w:val="17"/>
            </w:rPr>
            <w:fldChar w:fldCharType="separate"/>
          </w:r>
          <w:r w:rsidR="0013436B" w:rsidRPr="00B926BE">
            <w:rPr>
              <w:noProof/>
              <w:color w:val="000000"/>
              <w:sz w:val="17"/>
              <w:szCs w:val="17"/>
            </w:rPr>
            <w:t>2</w:t>
          </w:r>
          <w:r w:rsidRPr="00B926BE">
            <w:rPr>
              <w:color w:val="000000"/>
              <w:sz w:val="17"/>
              <w:szCs w:val="17"/>
            </w:rPr>
            <w:fldChar w:fldCharType="end"/>
          </w:r>
        </w:p>
      </w:tc>
    </w:tr>
  </w:tbl>
  <w:p w14:paraId="5A17C4CD" w14:textId="77777777" w:rsidR="00E5375B" w:rsidRDefault="00E5375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"/>
        <w:szCs w:val="2"/>
      </w:rPr>
    </w:pPr>
  </w:p>
  <w:p w14:paraId="5CE5D3CC" w14:textId="77777777" w:rsidR="00E5375B" w:rsidRDefault="00E537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46B7"/>
    <w:multiLevelType w:val="multilevel"/>
    <w:tmpl w:val="3920FD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5351F7"/>
    <w:multiLevelType w:val="multilevel"/>
    <w:tmpl w:val="7CA8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924E8"/>
    <w:multiLevelType w:val="multilevel"/>
    <w:tmpl w:val="4812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65752"/>
    <w:multiLevelType w:val="multilevel"/>
    <w:tmpl w:val="61EC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141F2D"/>
    <w:multiLevelType w:val="hybridMultilevel"/>
    <w:tmpl w:val="4A7AB71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B8C63C1"/>
    <w:multiLevelType w:val="hybridMultilevel"/>
    <w:tmpl w:val="532C1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13D66"/>
    <w:multiLevelType w:val="hybridMultilevel"/>
    <w:tmpl w:val="492EF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606C1"/>
    <w:multiLevelType w:val="multilevel"/>
    <w:tmpl w:val="B6A68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620C93"/>
    <w:multiLevelType w:val="multilevel"/>
    <w:tmpl w:val="21F88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2E0C50"/>
    <w:multiLevelType w:val="multilevel"/>
    <w:tmpl w:val="2C227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2A49F5"/>
    <w:multiLevelType w:val="multilevel"/>
    <w:tmpl w:val="EC169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6E64AE"/>
    <w:multiLevelType w:val="multilevel"/>
    <w:tmpl w:val="80BAD190"/>
    <w:lvl w:ilvl="0">
      <w:start w:val="1"/>
      <w:numFmt w:val="decimal"/>
      <w:lvlText w:val="%1."/>
      <w:lvlJc w:val="left"/>
      <w:pPr>
        <w:ind w:left="720" w:hanging="578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3F408C7"/>
    <w:multiLevelType w:val="multilevel"/>
    <w:tmpl w:val="DF927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DA425A"/>
    <w:multiLevelType w:val="multilevel"/>
    <w:tmpl w:val="5254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C32C7D"/>
    <w:multiLevelType w:val="multilevel"/>
    <w:tmpl w:val="E862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6FA59E"/>
    <w:multiLevelType w:val="singleLevel"/>
    <w:tmpl w:val="5D6FA59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6" w15:restartNumberingAfterBreak="0">
    <w:nsid w:val="62651339"/>
    <w:multiLevelType w:val="hybridMultilevel"/>
    <w:tmpl w:val="C29EE274"/>
    <w:lvl w:ilvl="0" w:tplc="1FEACF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5B626F"/>
    <w:multiLevelType w:val="multilevel"/>
    <w:tmpl w:val="FE7A5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695F6E"/>
    <w:multiLevelType w:val="multilevel"/>
    <w:tmpl w:val="B1685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EC4DF6"/>
    <w:multiLevelType w:val="multilevel"/>
    <w:tmpl w:val="1C065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631DA2"/>
    <w:multiLevelType w:val="hybridMultilevel"/>
    <w:tmpl w:val="F80A2C62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D81330"/>
    <w:multiLevelType w:val="multilevel"/>
    <w:tmpl w:val="922E5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5C0AF1"/>
    <w:multiLevelType w:val="multilevel"/>
    <w:tmpl w:val="055E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A0205D"/>
    <w:multiLevelType w:val="hybridMultilevel"/>
    <w:tmpl w:val="7FD6AC1C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0839C8"/>
    <w:multiLevelType w:val="multilevel"/>
    <w:tmpl w:val="BC9AD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6"/>
  </w:num>
  <w:num w:numId="4">
    <w:abstractNumId w:val="3"/>
  </w:num>
  <w:num w:numId="5">
    <w:abstractNumId w:val="18"/>
  </w:num>
  <w:num w:numId="6">
    <w:abstractNumId w:val="9"/>
  </w:num>
  <w:num w:numId="7">
    <w:abstractNumId w:val="12"/>
  </w:num>
  <w:num w:numId="8">
    <w:abstractNumId w:val="4"/>
  </w:num>
  <w:num w:numId="9">
    <w:abstractNumId w:val="2"/>
  </w:num>
  <w:num w:numId="10">
    <w:abstractNumId w:val="19"/>
  </w:num>
  <w:num w:numId="11">
    <w:abstractNumId w:val="14"/>
  </w:num>
  <w:num w:numId="12">
    <w:abstractNumId w:val="13"/>
  </w:num>
  <w:num w:numId="13">
    <w:abstractNumId w:val="20"/>
  </w:num>
  <w:num w:numId="14">
    <w:abstractNumId w:val="23"/>
  </w:num>
  <w:num w:numId="15">
    <w:abstractNumId w:val="6"/>
  </w:num>
  <w:num w:numId="16">
    <w:abstractNumId w:val="15"/>
  </w:num>
  <w:num w:numId="17">
    <w:abstractNumId w:val="24"/>
  </w:num>
  <w:num w:numId="18">
    <w:abstractNumId w:val="22"/>
  </w:num>
  <w:num w:numId="19">
    <w:abstractNumId w:val="1"/>
  </w:num>
  <w:num w:numId="20">
    <w:abstractNumId w:val="8"/>
  </w:num>
  <w:num w:numId="21">
    <w:abstractNumId w:val="10"/>
  </w:num>
  <w:num w:numId="22">
    <w:abstractNumId w:val="17"/>
  </w:num>
  <w:num w:numId="23">
    <w:abstractNumId w:val="21"/>
  </w:num>
  <w:num w:numId="24">
    <w:abstractNumId w:val="7"/>
  </w:num>
  <w:num w:numId="25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75B"/>
    <w:rsid w:val="00005BDD"/>
    <w:rsid w:val="000115EB"/>
    <w:rsid w:val="00037EDE"/>
    <w:rsid w:val="0004270E"/>
    <w:rsid w:val="00051C44"/>
    <w:rsid w:val="000B72BF"/>
    <w:rsid w:val="000E6748"/>
    <w:rsid w:val="000F0986"/>
    <w:rsid w:val="000F0ED3"/>
    <w:rsid w:val="00112D5E"/>
    <w:rsid w:val="0013436B"/>
    <w:rsid w:val="0014137B"/>
    <w:rsid w:val="00144AB3"/>
    <w:rsid w:val="00144BEE"/>
    <w:rsid w:val="0015526A"/>
    <w:rsid w:val="00161D65"/>
    <w:rsid w:val="00175F6A"/>
    <w:rsid w:val="001B3210"/>
    <w:rsid w:val="001D11B2"/>
    <w:rsid w:val="001D19B0"/>
    <w:rsid w:val="001F18A4"/>
    <w:rsid w:val="001F2F19"/>
    <w:rsid w:val="00213CCC"/>
    <w:rsid w:val="002162CE"/>
    <w:rsid w:val="00221A9B"/>
    <w:rsid w:val="00250CAF"/>
    <w:rsid w:val="00292084"/>
    <w:rsid w:val="002A68BE"/>
    <w:rsid w:val="002A75BA"/>
    <w:rsid w:val="002B113A"/>
    <w:rsid w:val="002B222D"/>
    <w:rsid w:val="00304127"/>
    <w:rsid w:val="00330A58"/>
    <w:rsid w:val="00354FAB"/>
    <w:rsid w:val="00363C14"/>
    <w:rsid w:val="003675B1"/>
    <w:rsid w:val="003745D4"/>
    <w:rsid w:val="0037503D"/>
    <w:rsid w:val="00380D9A"/>
    <w:rsid w:val="00395F17"/>
    <w:rsid w:val="003C245A"/>
    <w:rsid w:val="004004B8"/>
    <w:rsid w:val="00402DED"/>
    <w:rsid w:val="00424BEF"/>
    <w:rsid w:val="00427A7C"/>
    <w:rsid w:val="00436F67"/>
    <w:rsid w:val="00444024"/>
    <w:rsid w:val="00455682"/>
    <w:rsid w:val="00460887"/>
    <w:rsid w:val="00482B29"/>
    <w:rsid w:val="0049280F"/>
    <w:rsid w:val="004B70D3"/>
    <w:rsid w:val="004B7CB2"/>
    <w:rsid w:val="004D19A7"/>
    <w:rsid w:val="004D2208"/>
    <w:rsid w:val="004D2DE0"/>
    <w:rsid w:val="004D3DF8"/>
    <w:rsid w:val="004D3FD1"/>
    <w:rsid w:val="004E2A9E"/>
    <w:rsid w:val="0050038D"/>
    <w:rsid w:val="0050090D"/>
    <w:rsid w:val="005357B0"/>
    <w:rsid w:val="0053645D"/>
    <w:rsid w:val="005405E0"/>
    <w:rsid w:val="005430D3"/>
    <w:rsid w:val="00567371"/>
    <w:rsid w:val="00576CAE"/>
    <w:rsid w:val="005831C6"/>
    <w:rsid w:val="005A129B"/>
    <w:rsid w:val="005D3D2E"/>
    <w:rsid w:val="005E2773"/>
    <w:rsid w:val="005E726B"/>
    <w:rsid w:val="0060335A"/>
    <w:rsid w:val="00604320"/>
    <w:rsid w:val="006343BC"/>
    <w:rsid w:val="00653ADC"/>
    <w:rsid w:val="006846EF"/>
    <w:rsid w:val="006E7070"/>
    <w:rsid w:val="006F2444"/>
    <w:rsid w:val="006F6A2B"/>
    <w:rsid w:val="00702DBA"/>
    <w:rsid w:val="00704CF3"/>
    <w:rsid w:val="007074B3"/>
    <w:rsid w:val="0073297C"/>
    <w:rsid w:val="00747C15"/>
    <w:rsid w:val="007529E8"/>
    <w:rsid w:val="00755ED4"/>
    <w:rsid w:val="007747BB"/>
    <w:rsid w:val="007764DE"/>
    <w:rsid w:val="007A6D49"/>
    <w:rsid w:val="007A783F"/>
    <w:rsid w:val="007A7AB0"/>
    <w:rsid w:val="007C2FCC"/>
    <w:rsid w:val="007C7709"/>
    <w:rsid w:val="007E0460"/>
    <w:rsid w:val="007E589A"/>
    <w:rsid w:val="007F40F0"/>
    <w:rsid w:val="008022DB"/>
    <w:rsid w:val="00811091"/>
    <w:rsid w:val="0082187B"/>
    <w:rsid w:val="00823834"/>
    <w:rsid w:val="00824A79"/>
    <w:rsid w:val="00836F2C"/>
    <w:rsid w:val="008847E4"/>
    <w:rsid w:val="00891FD9"/>
    <w:rsid w:val="008A7F4B"/>
    <w:rsid w:val="008B2CFB"/>
    <w:rsid w:val="008B40F9"/>
    <w:rsid w:val="008C7A25"/>
    <w:rsid w:val="008D01AD"/>
    <w:rsid w:val="008D5E4E"/>
    <w:rsid w:val="008F4BC5"/>
    <w:rsid w:val="0092336A"/>
    <w:rsid w:val="0092549B"/>
    <w:rsid w:val="00953B88"/>
    <w:rsid w:val="00973AB6"/>
    <w:rsid w:val="009C5170"/>
    <w:rsid w:val="009F06FC"/>
    <w:rsid w:val="009F15FD"/>
    <w:rsid w:val="009F65BC"/>
    <w:rsid w:val="00A22D21"/>
    <w:rsid w:val="00A2442A"/>
    <w:rsid w:val="00A448DE"/>
    <w:rsid w:val="00A612D1"/>
    <w:rsid w:val="00A82253"/>
    <w:rsid w:val="00A87354"/>
    <w:rsid w:val="00A91DBF"/>
    <w:rsid w:val="00A95229"/>
    <w:rsid w:val="00AB24F3"/>
    <w:rsid w:val="00AC229B"/>
    <w:rsid w:val="00B014FE"/>
    <w:rsid w:val="00B02267"/>
    <w:rsid w:val="00B07C7B"/>
    <w:rsid w:val="00B35E0B"/>
    <w:rsid w:val="00B36358"/>
    <w:rsid w:val="00B53E70"/>
    <w:rsid w:val="00B56541"/>
    <w:rsid w:val="00B60B7E"/>
    <w:rsid w:val="00B62C20"/>
    <w:rsid w:val="00B81DD1"/>
    <w:rsid w:val="00B926BE"/>
    <w:rsid w:val="00BA0DE1"/>
    <w:rsid w:val="00BB402A"/>
    <w:rsid w:val="00BC5B04"/>
    <w:rsid w:val="00BF5DC6"/>
    <w:rsid w:val="00C01BC8"/>
    <w:rsid w:val="00C30450"/>
    <w:rsid w:val="00C340E2"/>
    <w:rsid w:val="00C46DC7"/>
    <w:rsid w:val="00C752E9"/>
    <w:rsid w:val="00C7742E"/>
    <w:rsid w:val="00C86109"/>
    <w:rsid w:val="00CB79DD"/>
    <w:rsid w:val="00CC7CE0"/>
    <w:rsid w:val="00CE1589"/>
    <w:rsid w:val="00D23328"/>
    <w:rsid w:val="00D269F6"/>
    <w:rsid w:val="00D346A6"/>
    <w:rsid w:val="00D41AF8"/>
    <w:rsid w:val="00D60389"/>
    <w:rsid w:val="00D65A51"/>
    <w:rsid w:val="00D94679"/>
    <w:rsid w:val="00DA24D1"/>
    <w:rsid w:val="00DA7078"/>
    <w:rsid w:val="00DB29CB"/>
    <w:rsid w:val="00DC1C43"/>
    <w:rsid w:val="00DD2C82"/>
    <w:rsid w:val="00DE5BDC"/>
    <w:rsid w:val="00DE78DD"/>
    <w:rsid w:val="00E321D7"/>
    <w:rsid w:val="00E33ABD"/>
    <w:rsid w:val="00E40D2C"/>
    <w:rsid w:val="00E5375B"/>
    <w:rsid w:val="00E62202"/>
    <w:rsid w:val="00EA72F6"/>
    <w:rsid w:val="00EB6920"/>
    <w:rsid w:val="00ED1B56"/>
    <w:rsid w:val="00ED3C70"/>
    <w:rsid w:val="00EE4733"/>
    <w:rsid w:val="00EF413A"/>
    <w:rsid w:val="00F1031A"/>
    <w:rsid w:val="00F151AE"/>
    <w:rsid w:val="00F2791F"/>
    <w:rsid w:val="00F91EC3"/>
    <w:rsid w:val="00FA30B8"/>
    <w:rsid w:val="00FA4620"/>
    <w:rsid w:val="00FD5BBF"/>
    <w:rsid w:val="00FE7E81"/>
    <w:rsid w:val="00FF34E5"/>
    <w:rsid w:val="00FF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B8214"/>
  <w15:docId w15:val="{62398D61-09B7-4F29-A83F-574DC92AB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3">
    <w:name w:val="heading 3"/>
    <w:basedOn w:val="a"/>
    <w:next w:val="a"/>
    <w:uiPriority w:val="9"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/>
      <w:outlineLvl w:val="4"/>
    </w:pPr>
    <w:rPr>
      <w:rFonts w:ascii="Cambria" w:eastAsia="Cambria" w:hAnsi="Cambria" w:cs="Cambria"/>
      <w:color w:val="2440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/>
      <w:outlineLvl w:val="5"/>
    </w:pPr>
    <w:rPr>
      <w:rFonts w:ascii="Cambria" w:eastAsia="Cambria" w:hAnsi="Cambria" w:cs="Cambria"/>
      <w:i/>
      <w:color w:val="24406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jc w:val="center"/>
    </w:pPr>
    <w:rPr>
      <w:b/>
      <w:sz w:val="28"/>
      <w:szCs w:val="28"/>
    </w:rPr>
  </w:style>
  <w:style w:type="paragraph" w:styleId="a4">
    <w:name w:val="Subtitle"/>
    <w:basedOn w:val="a"/>
    <w:next w:val="a"/>
    <w:uiPriority w:val="11"/>
    <w:qFormat/>
    <w:pPr>
      <w:jc w:val="center"/>
    </w:pPr>
    <w:rPr>
      <w:b/>
      <w:sz w:val="28"/>
      <w:szCs w:val="2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5">
    <w:name w:val="annotation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Pr>
      <w:sz w:val="20"/>
      <w:szCs w:val="20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character" w:customStyle="1" w:styleId="af8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f9"/>
    <w:uiPriority w:val="34"/>
    <w:qFormat/>
    <w:locked/>
    <w:rsid w:val="004D3FD1"/>
  </w:style>
  <w:style w:type="paragraph" w:styleId="af9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f8"/>
    <w:uiPriority w:val="34"/>
    <w:qFormat/>
    <w:rsid w:val="004D3FD1"/>
    <w:pPr>
      <w:ind w:left="720"/>
      <w:contextualSpacing/>
    </w:pPr>
  </w:style>
  <w:style w:type="paragraph" w:styleId="afa">
    <w:name w:val="No Spacing"/>
    <w:uiPriority w:val="1"/>
    <w:qFormat/>
    <w:rsid w:val="00973AB6"/>
  </w:style>
  <w:style w:type="table" w:styleId="afb">
    <w:name w:val="Table Grid"/>
    <w:basedOn w:val="a1"/>
    <w:uiPriority w:val="59"/>
    <w:rsid w:val="00973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074B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Hyperlink"/>
    <w:basedOn w:val="a0"/>
    <w:uiPriority w:val="99"/>
    <w:unhideWhenUsed/>
    <w:rsid w:val="007074B3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576CAE"/>
    <w:pPr>
      <w:spacing w:before="100" w:beforeAutospacing="1" w:after="100" w:afterAutospacing="1"/>
    </w:pPr>
  </w:style>
  <w:style w:type="character" w:styleId="afe">
    <w:name w:val="Strong"/>
    <w:basedOn w:val="a0"/>
    <w:uiPriority w:val="22"/>
    <w:qFormat/>
    <w:rsid w:val="00576CAE"/>
    <w:rPr>
      <w:b/>
      <w:bCs/>
    </w:rPr>
  </w:style>
  <w:style w:type="character" w:customStyle="1" w:styleId="ms-1">
    <w:name w:val="ms-1"/>
    <w:basedOn w:val="a0"/>
    <w:rsid w:val="00424BEF"/>
  </w:style>
  <w:style w:type="character" w:customStyle="1" w:styleId="max-w-15ch">
    <w:name w:val="max-w-[15ch]"/>
    <w:basedOn w:val="a0"/>
    <w:rsid w:val="00424BEF"/>
  </w:style>
  <w:style w:type="character" w:customStyle="1" w:styleId="-me-1">
    <w:name w:val="-me-1"/>
    <w:basedOn w:val="a0"/>
    <w:rsid w:val="00424BEF"/>
  </w:style>
  <w:style w:type="paragraph" w:styleId="aff">
    <w:name w:val="header"/>
    <w:basedOn w:val="a"/>
    <w:link w:val="aff0"/>
    <w:uiPriority w:val="99"/>
    <w:unhideWhenUsed/>
    <w:rsid w:val="00DB29CB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rsid w:val="00DB29CB"/>
  </w:style>
  <w:style w:type="paragraph" w:styleId="aff1">
    <w:name w:val="footer"/>
    <w:basedOn w:val="a"/>
    <w:link w:val="aff2"/>
    <w:uiPriority w:val="99"/>
    <w:unhideWhenUsed/>
    <w:rsid w:val="00DB29CB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sid w:val="00DB29CB"/>
  </w:style>
  <w:style w:type="character" w:customStyle="1" w:styleId="aff3">
    <w:name w:val="Основной текст Знак"/>
    <w:link w:val="aff4"/>
    <w:rsid w:val="00CB79DD"/>
    <w:rPr>
      <w:b/>
      <w:sz w:val="28"/>
    </w:rPr>
  </w:style>
  <w:style w:type="paragraph" w:styleId="aff4">
    <w:name w:val="Body Text"/>
    <w:basedOn w:val="a"/>
    <w:link w:val="aff3"/>
    <w:rsid w:val="00CB79DD"/>
    <w:rPr>
      <w:b/>
      <w:sz w:val="28"/>
    </w:rPr>
  </w:style>
  <w:style w:type="character" w:customStyle="1" w:styleId="10">
    <w:name w:val="Основной текст Знак1"/>
    <w:basedOn w:val="a0"/>
    <w:uiPriority w:val="99"/>
    <w:semiHidden/>
    <w:rsid w:val="00CB79DD"/>
  </w:style>
  <w:style w:type="character" w:styleId="aff5">
    <w:name w:val="Unresolved Mention"/>
    <w:basedOn w:val="a0"/>
    <w:uiPriority w:val="99"/>
    <w:semiHidden/>
    <w:unhideWhenUsed/>
    <w:rsid w:val="007C2FCC"/>
    <w:rPr>
      <w:color w:val="605E5C"/>
      <w:shd w:val="clear" w:color="auto" w:fill="E1DFDD"/>
    </w:rPr>
  </w:style>
  <w:style w:type="paragraph" w:customStyle="1" w:styleId="Default">
    <w:name w:val="Default"/>
    <w:qFormat/>
    <w:rsid w:val="00330A58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table" w:customStyle="1" w:styleId="11">
    <w:name w:val="Сетка таблицы1"/>
    <w:basedOn w:val="a1"/>
    <w:next w:val="afb"/>
    <w:uiPriority w:val="59"/>
    <w:rsid w:val="00603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4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Kaznmu-CS</dc:creator>
  <cp:lastModifiedBy>User</cp:lastModifiedBy>
  <cp:revision>8</cp:revision>
  <cp:lastPrinted>2025-11-12T10:54:00Z</cp:lastPrinted>
  <dcterms:created xsi:type="dcterms:W3CDTF">2025-11-13T07:43:00Z</dcterms:created>
  <dcterms:modified xsi:type="dcterms:W3CDTF">2025-12-01T12:33:00Z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622BF97278254B38AF037D5822C626FB</vt:lpwstr>
  </property>
</Properties>
</file>