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53665910" w14:textId="77777777" w:rsidR="00D90504" w:rsidRPr="00DE713C" w:rsidRDefault="00D90504" w:rsidP="00D90504">
      <w:pPr>
        <w:jc w:val="center"/>
        <w:rPr>
          <w:b/>
        </w:rPr>
      </w:pPr>
      <w:r w:rsidRPr="00DE713C">
        <w:rPr>
          <w:b/>
        </w:rPr>
        <w:t>«Остановка кровотечения»</w:t>
      </w:r>
    </w:p>
    <w:p w14:paraId="18739EC5" w14:textId="77777777" w:rsidR="00D90504" w:rsidRPr="00DE713C" w:rsidRDefault="00D90504" w:rsidP="00D90504">
      <w:pPr>
        <w:jc w:val="center"/>
        <w:rPr>
          <w:b/>
        </w:rPr>
      </w:pPr>
    </w:p>
    <w:tbl>
      <w:tblPr>
        <w:tblStyle w:val="10"/>
        <w:tblW w:w="5000" w:type="pct"/>
        <w:tblInd w:w="0" w:type="dxa"/>
        <w:tblLook w:val="04A0" w:firstRow="1" w:lastRow="0" w:firstColumn="1" w:lastColumn="0" w:noHBand="0" w:noVBand="1"/>
      </w:tblPr>
      <w:tblGrid>
        <w:gridCol w:w="458"/>
        <w:gridCol w:w="2645"/>
        <w:gridCol w:w="7092"/>
      </w:tblGrid>
      <w:tr w:rsidR="00FE0A89" w:rsidRPr="00DE713C" w14:paraId="1F4D5DE1" w14:textId="77777777" w:rsidTr="00B27224">
        <w:trPr>
          <w:trHeight w:val="336"/>
        </w:trPr>
        <w:tc>
          <w:tcPr>
            <w:tcW w:w="225" w:type="pct"/>
            <w:tcBorders>
              <w:top w:val="single" w:sz="4" w:space="0" w:color="auto"/>
              <w:left w:val="single" w:sz="4" w:space="0" w:color="auto"/>
              <w:bottom w:val="single" w:sz="4" w:space="0" w:color="auto"/>
              <w:right w:val="single" w:sz="4" w:space="0" w:color="auto"/>
            </w:tcBorders>
            <w:hideMark/>
          </w:tcPr>
          <w:p w14:paraId="269EB659" w14:textId="77777777" w:rsidR="00D90504" w:rsidRPr="00DE713C" w:rsidRDefault="00D90504" w:rsidP="00927410">
            <w:pPr>
              <w:rPr>
                <w:rFonts w:ascii="Times New Roman" w:hAnsi="Times New Roman" w:cs="Times New Roman"/>
                <w:b/>
              </w:rPr>
            </w:pPr>
            <w:r w:rsidRPr="00DE713C">
              <w:rPr>
                <w:rFonts w:ascii="Times New Roman" w:hAnsi="Times New Roman" w:cs="Times New Roman"/>
                <w:b/>
              </w:rPr>
              <w:t>№</w:t>
            </w:r>
          </w:p>
        </w:tc>
        <w:tc>
          <w:tcPr>
            <w:tcW w:w="1297" w:type="pct"/>
            <w:tcBorders>
              <w:top w:val="single" w:sz="4" w:space="0" w:color="auto"/>
              <w:left w:val="single" w:sz="4" w:space="0" w:color="auto"/>
              <w:bottom w:val="single" w:sz="4" w:space="0" w:color="auto"/>
              <w:right w:val="single" w:sz="4" w:space="0" w:color="auto"/>
            </w:tcBorders>
            <w:hideMark/>
          </w:tcPr>
          <w:p w14:paraId="31C63273" w14:textId="77777777" w:rsidR="00D90504" w:rsidRPr="00DE713C" w:rsidRDefault="00D90504" w:rsidP="00927410">
            <w:pPr>
              <w:rPr>
                <w:rFonts w:ascii="Times New Roman" w:hAnsi="Times New Roman" w:cs="Times New Roman"/>
                <w:b/>
              </w:rPr>
            </w:pPr>
            <w:r w:rsidRPr="00DE713C">
              <w:rPr>
                <w:rFonts w:ascii="Times New Roman" w:hAnsi="Times New Roman" w:cs="Times New Roman"/>
                <w:b/>
              </w:rPr>
              <w:t xml:space="preserve">Шаг </w:t>
            </w:r>
          </w:p>
        </w:tc>
        <w:tc>
          <w:tcPr>
            <w:tcW w:w="3478" w:type="pct"/>
            <w:tcBorders>
              <w:top w:val="single" w:sz="4" w:space="0" w:color="auto"/>
              <w:left w:val="single" w:sz="4" w:space="0" w:color="auto"/>
              <w:bottom w:val="single" w:sz="4" w:space="0" w:color="auto"/>
              <w:right w:val="single" w:sz="4" w:space="0" w:color="auto"/>
            </w:tcBorders>
            <w:hideMark/>
          </w:tcPr>
          <w:p w14:paraId="1B8A2F82" w14:textId="77777777" w:rsidR="00D90504" w:rsidRPr="00DE713C" w:rsidRDefault="00D90504" w:rsidP="00927410">
            <w:pPr>
              <w:rPr>
                <w:rFonts w:ascii="Times New Roman" w:hAnsi="Times New Roman" w:cs="Times New Roman"/>
                <w:b/>
              </w:rPr>
            </w:pPr>
            <w:r w:rsidRPr="00DE713C">
              <w:rPr>
                <w:rFonts w:ascii="Times New Roman" w:hAnsi="Times New Roman" w:cs="Times New Roman"/>
                <w:b/>
              </w:rPr>
              <w:t>Алгоритм действия и критерии выполнения</w:t>
            </w:r>
          </w:p>
        </w:tc>
      </w:tr>
      <w:tr w:rsidR="00FE0A89" w:rsidRPr="00DE713C" w14:paraId="70959156" w14:textId="77777777" w:rsidTr="00B27224">
        <w:trPr>
          <w:trHeight w:val="823"/>
        </w:trPr>
        <w:tc>
          <w:tcPr>
            <w:tcW w:w="225" w:type="pct"/>
            <w:tcBorders>
              <w:top w:val="single" w:sz="4" w:space="0" w:color="auto"/>
              <w:left w:val="single" w:sz="4" w:space="0" w:color="auto"/>
              <w:bottom w:val="single" w:sz="4" w:space="0" w:color="auto"/>
              <w:right w:val="single" w:sz="4" w:space="0" w:color="auto"/>
            </w:tcBorders>
            <w:hideMark/>
          </w:tcPr>
          <w:p w14:paraId="7617376F" w14:textId="77777777" w:rsidR="00D90504" w:rsidRPr="00DE713C" w:rsidRDefault="00D90504" w:rsidP="00927410">
            <w:pPr>
              <w:rPr>
                <w:rFonts w:ascii="Times New Roman" w:hAnsi="Times New Roman" w:cs="Times New Roman"/>
              </w:rPr>
            </w:pPr>
            <w:r w:rsidRPr="00DE713C">
              <w:rPr>
                <w:rFonts w:ascii="Times New Roman" w:hAnsi="Times New Roman" w:cs="Times New Roman"/>
              </w:rPr>
              <w:t>1</w:t>
            </w:r>
          </w:p>
        </w:tc>
        <w:tc>
          <w:tcPr>
            <w:tcW w:w="1297" w:type="pct"/>
            <w:tcBorders>
              <w:top w:val="single" w:sz="4" w:space="0" w:color="auto"/>
              <w:left w:val="single" w:sz="4" w:space="0" w:color="auto"/>
              <w:bottom w:val="single" w:sz="4" w:space="0" w:color="auto"/>
              <w:right w:val="single" w:sz="4" w:space="0" w:color="auto"/>
            </w:tcBorders>
            <w:hideMark/>
          </w:tcPr>
          <w:p w14:paraId="73B68E17"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Оценить безопасность для себя и пострадавшего</w:t>
            </w:r>
          </w:p>
        </w:tc>
        <w:tc>
          <w:tcPr>
            <w:tcW w:w="3478" w:type="pct"/>
            <w:tcBorders>
              <w:top w:val="single" w:sz="4" w:space="0" w:color="auto"/>
              <w:left w:val="single" w:sz="4" w:space="0" w:color="auto"/>
              <w:bottom w:val="single" w:sz="4" w:space="0" w:color="auto"/>
              <w:right w:val="single" w:sz="4" w:space="0" w:color="auto"/>
            </w:tcBorders>
            <w:hideMark/>
          </w:tcPr>
          <w:p w14:paraId="3D75F06E"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Убедиться в отсутствии угрозы (электрический ток, агрессивная среда и т.д.). Надеть перчатки (при наличии) для защиты от крови.</w:t>
            </w:r>
          </w:p>
        </w:tc>
      </w:tr>
      <w:tr w:rsidR="00FE0A89" w:rsidRPr="00DE713C" w14:paraId="081D94E4" w14:textId="77777777" w:rsidTr="00B27224">
        <w:trPr>
          <w:trHeight w:val="1118"/>
        </w:trPr>
        <w:tc>
          <w:tcPr>
            <w:tcW w:w="225" w:type="pct"/>
            <w:tcBorders>
              <w:top w:val="single" w:sz="4" w:space="0" w:color="auto"/>
              <w:left w:val="single" w:sz="4" w:space="0" w:color="auto"/>
              <w:bottom w:val="single" w:sz="4" w:space="0" w:color="auto"/>
              <w:right w:val="single" w:sz="4" w:space="0" w:color="auto"/>
            </w:tcBorders>
            <w:hideMark/>
          </w:tcPr>
          <w:p w14:paraId="34F5873B" w14:textId="77777777" w:rsidR="00D90504" w:rsidRPr="00DE713C" w:rsidRDefault="00D90504" w:rsidP="00927410">
            <w:pPr>
              <w:rPr>
                <w:rFonts w:ascii="Times New Roman" w:hAnsi="Times New Roman" w:cs="Times New Roman"/>
              </w:rPr>
            </w:pPr>
            <w:r w:rsidRPr="00DE713C">
              <w:rPr>
                <w:rFonts w:ascii="Times New Roman" w:hAnsi="Times New Roman" w:cs="Times New Roman"/>
              </w:rPr>
              <w:t>2</w:t>
            </w:r>
          </w:p>
        </w:tc>
        <w:tc>
          <w:tcPr>
            <w:tcW w:w="1297" w:type="pct"/>
            <w:tcBorders>
              <w:top w:val="single" w:sz="4" w:space="0" w:color="auto"/>
              <w:left w:val="single" w:sz="4" w:space="0" w:color="auto"/>
              <w:bottom w:val="single" w:sz="4" w:space="0" w:color="auto"/>
              <w:right w:val="single" w:sz="4" w:space="0" w:color="auto"/>
            </w:tcBorders>
            <w:hideMark/>
          </w:tcPr>
          <w:p w14:paraId="4A51A6FE"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Оценить состояние пострадавшего</w:t>
            </w:r>
          </w:p>
        </w:tc>
        <w:tc>
          <w:tcPr>
            <w:tcW w:w="3478" w:type="pct"/>
            <w:tcBorders>
              <w:top w:val="single" w:sz="4" w:space="0" w:color="auto"/>
              <w:left w:val="single" w:sz="4" w:space="0" w:color="auto"/>
              <w:bottom w:val="single" w:sz="4" w:space="0" w:color="auto"/>
              <w:right w:val="single" w:sz="4" w:space="0" w:color="auto"/>
            </w:tcBorders>
            <w:hideMark/>
          </w:tcPr>
          <w:p w14:paraId="39803FD5"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Уточнить уровень сознания, дыхание, выявить источник кровотечения (артериальное, венозное, капиллярное). При артериальном — кровь алого цвета, пульсирует; при венозном — темная, течет равномерно.</w:t>
            </w:r>
          </w:p>
        </w:tc>
      </w:tr>
      <w:tr w:rsidR="00FE0A89" w:rsidRPr="00DE713C" w14:paraId="6422FF16" w14:textId="77777777" w:rsidTr="00B27224">
        <w:trPr>
          <w:trHeight w:val="691"/>
        </w:trPr>
        <w:tc>
          <w:tcPr>
            <w:tcW w:w="225" w:type="pct"/>
            <w:tcBorders>
              <w:top w:val="single" w:sz="4" w:space="0" w:color="auto"/>
              <w:left w:val="single" w:sz="4" w:space="0" w:color="auto"/>
              <w:bottom w:val="single" w:sz="4" w:space="0" w:color="auto"/>
              <w:right w:val="single" w:sz="4" w:space="0" w:color="auto"/>
            </w:tcBorders>
            <w:hideMark/>
          </w:tcPr>
          <w:p w14:paraId="71E59F61" w14:textId="77777777" w:rsidR="00D90504" w:rsidRPr="00DE713C" w:rsidRDefault="00D90504" w:rsidP="00927410">
            <w:pPr>
              <w:rPr>
                <w:rFonts w:ascii="Times New Roman" w:hAnsi="Times New Roman" w:cs="Times New Roman"/>
              </w:rPr>
            </w:pPr>
            <w:r w:rsidRPr="00DE713C">
              <w:rPr>
                <w:rFonts w:ascii="Times New Roman" w:hAnsi="Times New Roman" w:cs="Times New Roman"/>
              </w:rPr>
              <w:t>3</w:t>
            </w:r>
          </w:p>
        </w:tc>
        <w:tc>
          <w:tcPr>
            <w:tcW w:w="1297" w:type="pct"/>
            <w:tcBorders>
              <w:top w:val="single" w:sz="4" w:space="0" w:color="auto"/>
              <w:left w:val="single" w:sz="4" w:space="0" w:color="auto"/>
              <w:bottom w:val="single" w:sz="4" w:space="0" w:color="auto"/>
              <w:right w:val="single" w:sz="4" w:space="0" w:color="auto"/>
            </w:tcBorders>
            <w:hideMark/>
          </w:tcPr>
          <w:p w14:paraId="1120410E"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Вызвать скорую помощь</w:t>
            </w:r>
          </w:p>
        </w:tc>
        <w:tc>
          <w:tcPr>
            <w:tcW w:w="3478" w:type="pct"/>
            <w:tcBorders>
              <w:top w:val="single" w:sz="4" w:space="0" w:color="auto"/>
              <w:left w:val="single" w:sz="4" w:space="0" w:color="auto"/>
              <w:bottom w:val="single" w:sz="4" w:space="0" w:color="auto"/>
              <w:right w:val="single" w:sz="4" w:space="0" w:color="auto"/>
            </w:tcBorders>
            <w:hideMark/>
          </w:tcPr>
          <w:p w14:paraId="1D6C7075"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Немедленно вызвать скорую при признаках массивной кровопотери, артериального кровотечения, шоке.</w:t>
            </w:r>
          </w:p>
        </w:tc>
      </w:tr>
      <w:tr w:rsidR="00FE0A89" w:rsidRPr="00DE713C" w14:paraId="0CDF7AB7" w14:textId="77777777" w:rsidTr="00B27224">
        <w:trPr>
          <w:trHeight w:val="846"/>
        </w:trPr>
        <w:tc>
          <w:tcPr>
            <w:tcW w:w="225" w:type="pct"/>
            <w:tcBorders>
              <w:top w:val="single" w:sz="4" w:space="0" w:color="auto"/>
              <w:left w:val="single" w:sz="4" w:space="0" w:color="auto"/>
              <w:bottom w:val="single" w:sz="4" w:space="0" w:color="auto"/>
              <w:right w:val="single" w:sz="4" w:space="0" w:color="auto"/>
            </w:tcBorders>
            <w:hideMark/>
          </w:tcPr>
          <w:p w14:paraId="2DA0CCE1" w14:textId="77777777" w:rsidR="00D90504" w:rsidRPr="00DE713C" w:rsidRDefault="00D90504" w:rsidP="00927410">
            <w:pPr>
              <w:rPr>
                <w:rFonts w:ascii="Times New Roman" w:hAnsi="Times New Roman" w:cs="Times New Roman"/>
              </w:rPr>
            </w:pPr>
            <w:r w:rsidRPr="00DE713C">
              <w:rPr>
                <w:rFonts w:ascii="Times New Roman" w:hAnsi="Times New Roman" w:cs="Times New Roman"/>
              </w:rPr>
              <w:t>4</w:t>
            </w:r>
          </w:p>
        </w:tc>
        <w:tc>
          <w:tcPr>
            <w:tcW w:w="1297" w:type="pct"/>
            <w:tcBorders>
              <w:top w:val="single" w:sz="4" w:space="0" w:color="auto"/>
              <w:left w:val="single" w:sz="4" w:space="0" w:color="auto"/>
              <w:bottom w:val="single" w:sz="4" w:space="0" w:color="auto"/>
              <w:right w:val="single" w:sz="4" w:space="0" w:color="auto"/>
            </w:tcBorders>
            <w:hideMark/>
          </w:tcPr>
          <w:p w14:paraId="0CE09E12"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Уложить пострадавшего и успокоить</w:t>
            </w:r>
          </w:p>
        </w:tc>
        <w:tc>
          <w:tcPr>
            <w:tcW w:w="3478" w:type="pct"/>
            <w:tcBorders>
              <w:top w:val="single" w:sz="4" w:space="0" w:color="auto"/>
              <w:left w:val="single" w:sz="4" w:space="0" w:color="auto"/>
              <w:bottom w:val="single" w:sz="4" w:space="0" w:color="auto"/>
              <w:right w:val="single" w:sz="4" w:space="0" w:color="auto"/>
            </w:tcBorders>
            <w:hideMark/>
          </w:tcPr>
          <w:p w14:paraId="201CD336"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Уложить человека на спину. Поднять ноги (если нет травм позвоночника), чтобы улучшить кровоснабжение мозга. Говорить спокойно.</w:t>
            </w:r>
          </w:p>
        </w:tc>
      </w:tr>
      <w:tr w:rsidR="00FE0A89" w:rsidRPr="00DE713C" w14:paraId="12E8DBBB" w14:textId="77777777" w:rsidTr="00B27224">
        <w:trPr>
          <w:trHeight w:val="663"/>
        </w:trPr>
        <w:tc>
          <w:tcPr>
            <w:tcW w:w="225" w:type="pct"/>
            <w:tcBorders>
              <w:top w:val="single" w:sz="4" w:space="0" w:color="auto"/>
              <w:left w:val="single" w:sz="4" w:space="0" w:color="auto"/>
              <w:bottom w:val="single" w:sz="4" w:space="0" w:color="auto"/>
              <w:right w:val="single" w:sz="4" w:space="0" w:color="auto"/>
            </w:tcBorders>
            <w:hideMark/>
          </w:tcPr>
          <w:p w14:paraId="74736584" w14:textId="77777777" w:rsidR="00D90504" w:rsidRPr="00DE713C" w:rsidRDefault="00D90504" w:rsidP="00927410">
            <w:pPr>
              <w:rPr>
                <w:rFonts w:ascii="Times New Roman" w:hAnsi="Times New Roman" w:cs="Times New Roman"/>
              </w:rPr>
            </w:pPr>
            <w:r w:rsidRPr="00DE713C">
              <w:rPr>
                <w:rFonts w:ascii="Times New Roman" w:hAnsi="Times New Roman" w:cs="Times New Roman"/>
              </w:rPr>
              <w:t>5</w:t>
            </w:r>
          </w:p>
        </w:tc>
        <w:tc>
          <w:tcPr>
            <w:tcW w:w="1297" w:type="pct"/>
            <w:tcBorders>
              <w:top w:val="single" w:sz="4" w:space="0" w:color="auto"/>
              <w:left w:val="single" w:sz="4" w:space="0" w:color="auto"/>
              <w:bottom w:val="single" w:sz="4" w:space="0" w:color="auto"/>
              <w:right w:val="single" w:sz="4" w:space="0" w:color="auto"/>
            </w:tcBorders>
            <w:hideMark/>
          </w:tcPr>
          <w:p w14:paraId="0A0A6B26"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Надавить на зону кровотечения</w:t>
            </w:r>
          </w:p>
        </w:tc>
        <w:tc>
          <w:tcPr>
            <w:tcW w:w="3478" w:type="pct"/>
            <w:tcBorders>
              <w:top w:val="single" w:sz="4" w:space="0" w:color="auto"/>
              <w:left w:val="single" w:sz="4" w:space="0" w:color="auto"/>
              <w:bottom w:val="single" w:sz="4" w:space="0" w:color="auto"/>
              <w:right w:val="single" w:sz="4" w:space="0" w:color="auto"/>
            </w:tcBorders>
            <w:hideMark/>
          </w:tcPr>
          <w:p w14:paraId="4CBD3D63"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При артериальном кровотечении — прижать артерию пальцем выше раны по ходу сосуда. При венозном — ниже раны.</w:t>
            </w:r>
          </w:p>
        </w:tc>
      </w:tr>
      <w:tr w:rsidR="00FE0A89" w:rsidRPr="00DE713C" w14:paraId="12E90045" w14:textId="77777777" w:rsidTr="00B27224">
        <w:trPr>
          <w:trHeight w:val="1028"/>
        </w:trPr>
        <w:tc>
          <w:tcPr>
            <w:tcW w:w="225" w:type="pct"/>
            <w:tcBorders>
              <w:top w:val="single" w:sz="4" w:space="0" w:color="auto"/>
              <w:left w:val="single" w:sz="4" w:space="0" w:color="auto"/>
              <w:bottom w:val="single" w:sz="4" w:space="0" w:color="auto"/>
              <w:right w:val="single" w:sz="4" w:space="0" w:color="auto"/>
            </w:tcBorders>
            <w:hideMark/>
          </w:tcPr>
          <w:p w14:paraId="0A424378" w14:textId="77777777" w:rsidR="00D90504" w:rsidRPr="00DE713C" w:rsidRDefault="00D90504" w:rsidP="00927410">
            <w:pPr>
              <w:rPr>
                <w:rFonts w:ascii="Times New Roman" w:hAnsi="Times New Roman" w:cs="Times New Roman"/>
              </w:rPr>
            </w:pPr>
            <w:r w:rsidRPr="00DE713C">
              <w:rPr>
                <w:rFonts w:ascii="Times New Roman" w:hAnsi="Times New Roman" w:cs="Times New Roman"/>
              </w:rPr>
              <w:t>6</w:t>
            </w:r>
          </w:p>
        </w:tc>
        <w:tc>
          <w:tcPr>
            <w:tcW w:w="1297" w:type="pct"/>
            <w:tcBorders>
              <w:top w:val="single" w:sz="4" w:space="0" w:color="auto"/>
              <w:left w:val="single" w:sz="4" w:space="0" w:color="auto"/>
              <w:bottom w:val="single" w:sz="4" w:space="0" w:color="auto"/>
              <w:right w:val="single" w:sz="4" w:space="0" w:color="auto"/>
            </w:tcBorders>
            <w:hideMark/>
          </w:tcPr>
          <w:p w14:paraId="2B22FE5A"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Наложить стерильную повязку или чистую ткань</w:t>
            </w:r>
          </w:p>
        </w:tc>
        <w:tc>
          <w:tcPr>
            <w:tcW w:w="3478" w:type="pct"/>
            <w:tcBorders>
              <w:top w:val="single" w:sz="4" w:space="0" w:color="auto"/>
              <w:left w:val="single" w:sz="4" w:space="0" w:color="auto"/>
              <w:bottom w:val="single" w:sz="4" w:space="0" w:color="auto"/>
              <w:right w:val="single" w:sz="4" w:space="0" w:color="auto"/>
            </w:tcBorders>
            <w:hideMark/>
          </w:tcPr>
          <w:p w14:paraId="78849F87"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Использовать бинт, марлю или чистую ткань. Надавливать, не убирая первоначальный слой даже при его пропитывании кровью.</w:t>
            </w:r>
          </w:p>
        </w:tc>
      </w:tr>
      <w:tr w:rsidR="00FE0A89" w:rsidRPr="00DE713C" w14:paraId="57C69080" w14:textId="77777777" w:rsidTr="00B27224">
        <w:trPr>
          <w:trHeight w:val="841"/>
        </w:trPr>
        <w:tc>
          <w:tcPr>
            <w:tcW w:w="225" w:type="pct"/>
            <w:tcBorders>
              <w:top w:val="single" w:sz="4" w:space="0" w:color="auto"/>
              <w:left w:val="single" w:sz="4" w:space="0" w:color="auto"/>
              <w:bottom w:val="single" w:sz="4" w:space="0" w:color="auto"/>
              <w:right w:val="single" w:sz="4" w:space="0" w:color="auto"/>
            </w:tcBorders>
            <w:hideMark/>
          </w:tcPr>
          <w:p w14:paraId="0FBC2538" w14:textId="77777777" w:rsidR="00D90504" w:rsidRPr="00DE713C" w:rsidRDefault="00D90504" w:rsidP="00927410">
            <w:pPr>
              <w:rPr>
                <w:rFonts w:ascii="Times New Roman" w:hAnsi="Times New Roman" w:cs="Times New Roman"/>
              </w:rPr>
            </w:pPr>
            <w:r w:rsidRPr="00DE713C">
              <w:rPr>
                <w:rFonts w:ascii="Times New Roman" w:hAnsi="Times New Roman" w:cs="Times New Roman"/>
              </w:rPr>
              <w:t>7</w:t>
            </w:r>
          </w:p>
        </w:tc>
        <w:tc>
          <w:tcPr>
            <w:tcW w:w="1297" w:type="pct"/>
            <w:tcBorders>
              <w:top w:val="single" w:sz="4" w:space="0" w:color="auto"/>
              <w:left w:val="single" w:sz="4" w:space="0" w:color="auto"/>
              <w:bottom w:val="single" w:sz="4" w:space="0" w:color="auto"/>
              <w:right w:val="single" w:sz="4" w:space="0" w:color="auto"/>
            </w:tcBorders>
            <w:hideMark/>
          </w:tcPr>
          <w:p w14:paraId="3FEC9A21"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При сильном кровотечении - наложить жгут</w:t>
            </w:r>
          </w:p>
        </w:tc>
        <w:tc>
          <w:tcPr>
            <w:tcW w:w="3478" w:type="pct"/>
            <w:tcBorders>
              <w:top w:val="single" w:sz="4" w:space="0" w:color="auto"/>
              <w:left w:val="single" w:sz="4" w:space="0" w:color="auto"/>
              <w:bottom w:val="single" w:sz="4" w:space="0" w:color="auto"/>
              <w:right w:val="single" w:sz="4" w:space="0" w:color="auto"/>
            </w:tcBorders>
            <w:hideMark/>
          </w:tcPr>
          <w:p w14:paraId="72E1B415"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Наложить жгут выше места ранения (на 5–7 см), записать точное время наложения. Жгут нельзя держать более 1–1,5 часа.</w:t>
            </w:r>
          </w:p>
        </w:tc>
      </w:tr>
      <w:tr w:rsidR="00FE0A89" w:rsidRPr="00DE713C" w14:paraId="15F0282D" w14:textId="77777777" w:rsidTr="00B27224">
        <w:trPr>
          <w:trHeight w:val="691"/>
        </w:trPr>
        <w:tc>
          <w:tcPr>
            <w:tcW w:w="225" w:type="pct"/>
            <w:tcBorders>
              <w:top w:val="single" w:sz="4" w:space="0" w:color="auto"/>
              <w:left w:val="single" w:sz="4" w:space="0" w:color="auto"/>
              <w:bottom w:val="single" w:sz="4" w:space="0" w:color="auto"/>
              <w:right w:val="single" w:sz="4" w:space="0" w:color="auto"/>
            </w:tcBorders>
            <w:hideMark/>
          </w:tcPr>
          <w:p w14:paraId="77A2568A" w14:textId="77777777" w:rsidR="00D90504" w:rsidRPr="00DE713C" w:rsidRDefault="00D90504" w:rsidP="00927410">
            <w:pPr>
              <w:rPr>
                <w:rFonts w:ascii="Times New Roman" w:hAnsi="Times New Roman" w:cs="Times New Roman"/>
              </w:rPr>
            </w:pPr>
            <w:r w:rsidRPr="00DE713C">
              <w:rPr>
                <w:rFonts w:ascii="Times New Roman" w:hAnsi="Times New Roman" w:cs="Times New Roman"/>
              </w:rPr>
              <w:t>8</w:t>
            </w:r>
          </w:p>
        </w:tc>
        <w:tc>
          <w:tcPr>
            <w:tcW w:w="1297" w:type="pct"/>
            <w:tcBorders>
              <w:top w:val="single" w:sz="4" w:space="0" w:color="auto"/>
              <w:left w:val="single" w:sz="4" w:space="0" w:color="auto"/>
              <w:bottom w:val="single" w:sz="4" w:space="0" w:color="auto"/>
              <w:right w:val="single" w:sz="4" w:space="0" w:color="auto"/>
            </w:tcBorders>
            <w:hideMark/>
          </w:tcPr>
          <w:p w14:paraId="29DED662"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Зафиксировать конечность</w:t>
            </w:r>
          </w:p>
        </w:tc>
        <w:tc>
          <w:tcPr>
            <w:tcW w:w="3478" w:type="pct"/>
            <w:tcBorders>
              <w:top w:val="single" w:sz="4" w:space="0" w:color="auto"/>
              <w:left w:val="single" w:sz="4" w:space="0" w:color="auto"/>
              <w:bottom w:val="single" w:sz="4" w:space="0" w:color="auto"/>
              <w:right w:val="single" w:sz="4" w:space="0" w:color="auto"/>
            </w:tcBorders>
            <w:hideMark/>
          </w:tcPr>
          <w:p w14:paraId="64D336F4"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Иммобилизировать конечность при наличии перелома или при необходимости удержания повязки.</w:t>
            </w:r>
          </w:p>
        </w:tc>
      </w:tr>
      <w:tr w:rsidR="00FE0A89" w:rsidRPr="00DE713C" w14:paraId="65589533" w14:textId="77777777" w:rsidTr="00B27224">
        <w:trPr>
          <w:trHeight w:val="564"/>
        </w:trPr>
        <w:tc>
          <w:tcPr>
            <w:tcW w:w="225" w:type="pct"/>
            <w:tcBorders>
              <w:top w:val="single" w:sz="4" w:space="0" w:color="auto"/>
              <w:left w:val="single" w:sz="4" w:space="0" w:color="auto"/>
              <w:bottom w:val="single" w:sz="4" w:space="0" w:color="auto"/>
              <w:right w:val="single" w:sz="4" w:space="0" w:color="auto"/>
            </w:tcBorders>
            <w:hideMark/>
          </w:tcPr>
          <w:p w14:paraId="394211A7" w14:textId="77777777" w:rsidR="00D90504" w:rsidRPr="00DE713C" w:rsidRDefault="00D90504" w:rsidP="00927410">
            <w:pPr>
              <w:rPr>
                <w:rFonts w:ascii="Times New Roman" w:hAnsi="Times New Roman" w:cs="Times New Roman"/>
              </w:rPr>
            </w:pPr>
            <w:r w:rsidRPr="00DE713C">
              <w:rPr>
                <w:rFonts w:ascii="Times New Roman" w:hAnsi="Times New Roman" w:cs="Times New Roman"/>
              </w:rPr>
              <w:t>9</w:t>
            </w:r>
          </w:p>
        </w:tc>
        <w:tc>
          <w:tcPr>
            <w:tcW w:w="1297" w:type="pct"/>
            <w:tcBorders>
              <w:top w:val="single" w:sz="4" w:space="0" w:color="auto"/>
              <w:left w:val="single" w:sz="4" w:space="0" w:color="auto"/>
              <w:bottom w:val="single" w:sz="4" w:space="0" w:color="auto"/>
              <w:right w:val="single" w:sz="4" w:space="0" w:color="auto"/>
            </w:tcBorders>
            <w:hideMark/>
          </w:tcPr>
          <w:p w14:paraId="36ABFC33"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Наблюдать за состоянием</w:t>
            </w:r>
          </w:p>
        </w:tc>
        <w:tc>
          <w:tcPr>
            <w:tcW w:w="3478" w:type="pct"/>
            <w:tcBorders>
              <w:top w:val="single" w:sz="4" w:space="0" w:color="auto"/>
              <w:left w:val="single" w:sz="4" w:space="0" w:color="auto"/>
              <w:bottom w:val="single" w:sz="4" w:space="0" w:color="auto"/>
              <w:right w:val="single" w:sz="4" w:space="0" w:color="auto"/>
            </w:tcBorders>
            <w:hideMark/>
          </w:tcPr>
          <w:p w14:paraId="7EF703C5"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Контролировать сознание, пульс, цвет кожи. При ухудшении состояния — подготовиться к проведению СЛР.</w:t>
            </w:r>
          </w:p>
        </w:tc>
      </w:tr>
      <w:tr w:rsidR="00FE0A89" w:rsidRPr="00DE713C" w14:paraId="610336AA" w14:textId="77777777" w:rsidTr="00B27224">
        <w:trPr>
          <w:trHeight w:val="1028"/>
        </w:trPr>
        <w:tc>
          <w:tcPr>
            <w:tcW w:w="225" w:type="pct"/>
            <w:tcBorders>
              <w:top w:val="single" w:sz="4" w:space="0" w:color="auto"/>
              <w:left w:val="single" w:sz="4" w:space="0" w:color="auto"/>
              <w:bottom w:val="single" w:sz="4" w:space="0" w:color="auto"/>
              <w:right w:val="single" w:sz="4" w:space="0" w:color="auto"/>
            </w:tcBorders>
            <w:hideMark/>
          </w:tcPr>
          <w:p w14:paraId="1260B074" w14:textId="77777777" w:rsidR="00D90504" w:rsidRPr="00DE713C" w:rsidRDefault="00D90504" w:rsidP="00927410">
            <w:pPr>
              <w:rPr>
                <w:rFonts w:ascii="Times New Roman" w:hAnsi="Times New Roman" w:cs="Times New Roman"/>
              </w:rPr>
            </w:pPr>
            <w:r w:rsidRPr="00DE713C">
              <w:rPr>
                <w:rFonts w:ascii="Times New Roman" w:hAnsi="Times New Roman" w:cs="Times New Roman"/>
              </w:rPr>
              <w:t>10</w:t>
            </w:r>
          </w:p>
        </w:tc>
        <w:tc>
          <w:tcPr>
            <w:tcW w:w="1297" w:type="pct"/>
            <w:tcBorders>
              <w:top w:val="single" w:sz="4" w:space="0" w:color="auto"/>
              <w:left w:val="single" w:sz="4" w:space="0" w:color="auto"/>
              <w:bottom w:val="single" w:sz="4" w:space="0" w:color="auto"/>
              <w:right w:val="single" w:sz="4" w:space="0" w:color="auto"/>
            </w:tcBorders>
            <w:hideMark/>
          </w:tcPr>
          <w:p w14:paraId="225E0D56"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Передать пострадавшего медицинским работникам</w:t>
            </w:r>
          </w:p>
        </w:tc>
        <w:tc>
          <w:tcPr>
            <w:tcW w:w="3478" w:type="pct"/>
            <w:tcBorders>
              <w:top w:val="single" w:sz="4" w:space="0" w:color="auto"/>
              <w:left w:val="single" w:sz="4" w:space="0" w:color="auto"/>
              <w:bottom w:val="single" w:sz="4" w:space="0" w:color="auto"/>
              <w:right w:val="single" w:sz="4" w:space="0" w:color="auto"/>
            </w:tcBorders>
            <w:hideMark/>
          </w:tcPr>
          <w:p w14:paraId="0D3262C1" w14:textId="77777777" w:rsidR="00D90504" w:rsidRPr="00DE713C" w:rsidRDefault="00D90504" w:rsidP="00927410">
            <w:pPr>
              <w:jc w:val="both"/>
              <w:rPr>
                <w:rFonts w:ascii="Times New Roman" w:hAnsi="Times New Roman" w:cs="Times New Roman"/>
              </w:rPr>
            </w:pPr>
            <w:r w:rsidRPr="00DE713C">
              <w:rPr>
                <w:rFonts w:ascii="Times New Roman" w:hAnsi="Times New Roman" w:cs="Times New Roman"/>
              </w:rPr>
              <w:t>Сообщить всю информацию: время наложения жгута, состояние пострадавшего, оказанные меры. Не снимать жгут самостоятельно.</w:t>
            </w:r>
          </w:p>
        </w:tc>
      </w:tr>
    </w:tbl>
    <w:p w14:paraId="53550C92" w14:textId="77777777" w:rsidR="00D90504" w:rsidRPr="00DE713C" w:rsidRDefault="00D90504" w:rsidP="00D90504"/>
    <w:p w14:paraId="72FC7B9E" w14:textId="5B1F63CB" w:rsidR="00FE0A89" w:rsidRDefault="00FE0A89">
      <w:pPr>
        <w:ind w:hanging="11"/>
        <w:jc w:val="both"/>
        <w:rPr>
          <w:b/>
        </w:rPr>
      </w:pPr>
    </w:p>
    <w:p w14:paraId="5E444546" w14:textId="7C228929" w:rsidR="00FE0A89" w:rsidRDefault="00FE0A89">
      <w:pPr>
        <w:ind w:hanging="11"/>
        <w:jc w:val="both"/>
        <w:rPr>
          <w:b/>
        </w:rPr>
      </w:pPr>
    </w:p>
    <w:p w14:paraId="53F4D7F7" w14:textId="730DF21F" w:rsidR="00FE0A89" w:rsidRDefault="00FE0A89">
      <w:pPr>
        <w:ind w:hanging="11"/>
        <w:jc w:val="both"/>
        <w:rPr>
          <w:b/>
        </w:rPr>
      </w:pPr>
    </w:p>
    <w:p w14:paraId="790E95D4" w14:textId="3F96EEE9" w:rsidR="00FE0A89" w:rsidRDefault="00FE0A89">
      <w:pPr>
        <w:ind w:hanging="11"/>
        <w:jc w:val="both"/>
        <w:rPr>
          <w:b/>
        </w:rPr>
      </w:pPr>
    </w:p>
    <w:p w14:paraId="1C583517" w14:textId="7EF98207" w:rsidR="00FE0A89" w:rsidRDefault="00FE0A89">
      <w:pPr>
        <w:ind w:hanging="11"/>
        <w:jc w:val="both"/>
        <w:rPr>
          <w:b/>
        </w:rPr>
      </w:pPr>
    </w:p>
    <w:p w14:paraId="44FE3C1B" w14:textId="6854B17F" w:rsidR="00FE0A89" w:rsidRDefault="00FE0A89">
      <w:pPr>
        <w:ind w:hanging="11"/>
        <w:jc w:val="both"/>
        <w:rPr>
          <w:b/>
        </w:rPr>
      </w:pPr>
    </w:p>
    <w:p w14:paraId="142A3F3D" w14:textId="33C8C26E" w:rsidR="00FE0A89" w:rsidRDefault="00FE0A89">
      <w:pPr>
        <w:ind w:hanging="11"/>
        <w:jc w:val="both"/>
        <w:rPr>
          <w:b/>
        </w:rPr>
      </w:pPr>
    </w:p>
    <w:p w14:paraId="37D7C370" w14:textId="6B71727B" w:rsidR="00FE0A89" w:rsidRDefault="00FE0A89">
      <w:pPr>
        <w:ind w:hanging="11"/>
        <w:jc w:val="both"/>
        <w:rPr>
          <w:b/>
        </w:rPr>
      </w:pPr>
    </w:p>
    <w:p w14:paraId="7A41CDDE" w14:textId="77777777" w:rsidR="00FE0A89" w:rsidRPr="00DE713C" w:rsidRDefault="00FE0A89">
      <w:pPr>
        <w:ind w:hanging="11"/>
        <w:jc w:val="both"/>
        <w:rPr>
          <w:b/>
        </w:rPr>
      </w:pPr>
    </w:p>
    <w:sectPr w:rsidR="00FE0A89" w:rsidRPr="00DE713C" w:rsidSect="00B27224">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0F84" w14:textId="77777777" w:rsidR="001B717A" w:rsidRDefault="001B717A">
      <w:r>
        <w:separator/>
      </w:r>
    </w:p>
  </w:endnote>
  <w:endnote w:type="continuationSeparator" w:id="0">
    <w:p w14:paraId="3ECCEB10" w14:textId="77777777" w:rsidR="001B717A" w:rsidRDefault="001B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FA5C7" w14:textId="77777777" w:rsidR="001B717A" w:rsidRDefault="001B717A">
      <w:r>
        <w:separator/>
      </w:r>
    </w:p>
  </w:footnote>
  <w:footnote w:type="continuationSeparator" w:id="0">
    <w:p w14:paraId="0D16A763" w14:textId="77777777" w:rsidR="001B717A" w:rsidRDefault="001B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B27224">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27224" w14:paraId="4CF16E6F" w14:textId="77777777" w:rsidTr="00B27224">
      <w:trPr>
        <w:trHeight w:val="196"/>
      </w:trPr>
      <w:tc>
        <w:tcPr>
          <w:tcW w:w="600" w:type="pct"/>
          <w:vMerge/>
        </w:tcPr>
        <w:p w14:paraId="5EE842E5" w14:textId="77777777" w:rsidR="00B27224" w:rsidRDefault="00B27224" w:rsidP="00B27224">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187CD326" w:rsidR="00B27224" w:rsidRPr="004458C1" w:rsidRDefault="00B27224" w:rsidP="00B27224">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7E83AA2C" w:rsidR="00B27224" w:rsidRPr="004458C1" w:rsidRDefault="00B27224" w:rsidP="00B27224">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3A0950BC" w:rsidR="00B27224" w:rsidRDefault="00B27224" w:rsidP="00B27224">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27224" w14:paraId="055684EA" w14:textId="77777777" w:rsidTr="00B27224">
      <w:trPr>
        <w:trHeight w:val="152"/>
      </w:trPr>
      <w:tc>
        <w:tcPr>
          <w:tcW w:w="600" w:type="pct"/>
          <w:vMerge/>
        </w:tcPr>
        <w:p w14:paraId="65266832" w14:textId="77777777" w:rsidR="00B27224" w:rsidRDefault="00B27224" w:rsidP="00B27224">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B27224" w:rsidRDefault="00B27224" w:rsidP="00B27224">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B27224" w:rsidRDefault="00B27224" w:rsidP="00B27224">
          <w:pPr>
            <w:widowControl w:val="0"/>
            <w:pBdr>
              <w:top w:val="nil"/>
              <w:left w:val="nil"/>
              <w:bottom w:val="nil"/>
              <w:right w:val="nil"/>
              <w:between w:val="nil"/>
            </w:pBdr>
            <w:spacing w:line="276" w:lineRule="auto"/>
            <w:rPr>
              <w:color w:val="000000"/>
              <w:sz w:val="17"/>
              <w:szCs w:val="17"/>
            </w:rPr>
          </w:pPr>
        </w:p>
      </w:tc>
      <w:tc>
        <w:tcPr>
          <w:tcW w:w="972" w:type="pct"/>
        </w:tcPr>
        <w:p w14:paraId="33169B74" w14:textId="2EE4496B" w:rsidR="00B27224" w:rsidRDefault="00B27224" w:rsidP="00B27224">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B717A"/>
    <w:rsid w:val="001C3E85"/>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B5F4C"/>
    <w:rsid w:val="006C1F18"/>
    <w:rsid w:val="006D61C7"/>
    <w:rsid w:val="006E3530"/>
    <w:rsid w:val="006F4A15"/>
    <w:rsid w:val="006F7D18"/>
    <w:rsid w:val="007110D3"/>
    <w:rsid w:val="0074246D"/>
    <w:rsid w:val="00757738"/>
    <w:rsid w:val="007623CB"/>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27224"/>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61</cp:revision>
  <cp:lastPrinted>2025-09-19T07:36:00Z</cp:lastPrinted>
  <dcterms:created xsi:type="dcterms:W3CDTF">2025-09-19T07:37:00Z</dcterms:created>
  <dcterms:modified xsi:type="dcterms:W3CDTF">2025-12-01T13:17:00Z</dcterms:modified>
</cp:coreProperties>
</file>