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D4853" w14:textId="11557436" w:rsidR="007D3D2A" w:rsidRPr="00DE713C" w:rsidRDefault="007D3D2A" w:rsidP="007D3D2A">
      <w:pPr>
        <w:spacing w:before="100" w:beforeAutospacing="1" w:after="100" w:afterAutospacing="1"/>
        <w:jc w:val="center"/>
        <w:outlineLvl w:val="1"/>
        <w:rPr>
          <w:b/>
          <w:bCs/>
        </w:rPr>
      </w:pPr>
      <w:r w:rsidRPr="00DE713C">
        <w:rPr>
          <w:b/>
          <w:bCs/>
        </w:rPr>
        <w:t>Первая помощь при аллергических реакциях (крапивница, отек Квинке, анафилактический шок)</w:t>
      </w:r>
    </w:p>
    <w:tbl>
      <w:tblPr>
        <w:tblStyle w:val="aff4"/>
        <w:tblW w:w="10201" w:type="dxa"/>
        <w:tblLook w:val="04A0" w:firstRow="1" w:lastRow="0" w:firstColumn="1" w:lastColumn="0" w:noHBand="0" w:noVBand="1"/>
      </w:tblPr>
      <w:tblGrid>
        <w:gridCol w:w="458"/>
        <w:gridCol w:w="2192"/>
        <w:gridCol w:w="7551"/>
      </w:tblGrid>
      <w:tr w:rsidR="007D3D2A" w:rsidRPr="00DE713C" w14:paraId="568AF55C" w14:textId="77777777" w:rsidTr="007D3D2A">
        <w:tc>
          <w:tcPr>
            <w:tcW w:w="0" w:type="auto"/>
            <w:hideMark/>
          </w:tcPr>
          <w:p w14:paraId="4CBC5D16" w14:textId="77777777" w:rsidR="007D3D2A" w:rsidRPr="00DE713C" w:rsidRDefault="007D3D2A" w:rsidP="00927410">
            <w:pPr>
              <w:jc w:val="center"/>
              <w:rPr>
                <w:b/>
                <w:bCs/>
              </w:rPr>
            </w:pPr>
            <w:r w:rsidRPr="00DE713C">
              <w:rPr>
                <w:b/>
                <w:bCs/>
              </w:rPr>
              <w:t>№</w:t>
            </w:r>
          </w:p>
        </w:tc>
        <w:tc>
          <w:tcPr>
            <w:tcW w:w="2192" w:type="dxa"/>
            <w:hideMark/>
          </w:tcPr>
          <w:p w14:paraId="714BF307" w14:textId="77777777" w:rsidR="007D3D2A" w:rsidRPr="00DE713C" w:rsidRDefault="007D3D2A" w:rsidP="00927410">
            <w:pPr>
              <w:jc w:val="center"/>
              <w:rPr>
                <w:b/>
                <w:bCs/>
              </w:rPr>
            </w:pPr>
            <w:r w:rsidRPr="00DE713C">
              <w:rPr>
                <w:b/>
                <w:bCs/>
              </w:rPr>
              <w:t>Шаг</w:t>
            </w:r>
          </w:p>
        </w:tc>
        <w:tc>
          <w:tcPr>
            <w:tcW w:w="7551" w:type="dxa"/>
            <w:hideMark/>
          </w:tcPr>
          <w:p w14:paraId="09B742D1" w14:textId="77777777" w:rsidR="007D3D2A" w:rsidRPr="00DE713C" w:rsidRDefault="007D3D2A" w:rsidP="00927410">
            <w:pPr>
              <w:jc w:val="center"/>
              <w:rPr>
                <w:b/>
                <w:bCs/>
              </w:rPr>
            </w:pPr>
            <w:r w:rsidRPr="00DE713C">
              <w:rPr>
                <w:b/>
                <w:bCs/>
              </w:rPr>
              <w:t>Алгоритм действия</w:t>
            </w:r>
          </w:p>
        </w:tc>
      </w:tr>
      <w:tr w:rsidR="007D3D2A" w:rsidRPr="00DE713C" w14:paraId="04C08759" w14:textId="77777777" w:rsidTr="007D3D2A">
        <w:tc>
          <w:tcPr>
            <w:tcW w:w="0" w:type="auto"/>
            <w:hideMark/>
          </w:tcPr>
          <w:p w14:paraId="2BF3B56C" w14:textId="77777777" w:rsidR="007D3D2A" w:rsidRPr="00DE713C" w:rsidRDefault="007D3D2A" w:rsidP="00927410">
            <w:r w:rsidRPr="00DE713C">
              <w:t>1</w:t>
            </w:r>
          </w:p>
        </w:tc>
        <w:tc>
          <w:tcPr>
            <w:tcW w:w="2192" w:type="dxa"/>
            <w:hideMark/>
          </w:tcPr>
          <w:p w14:paraId="3F83B265" w14:textId="06B889CE" w:rsidR="007D3D2A" w:rsidRPr="00DE713C" w:rsidRDefault="007D3D2A" w:rsidP="00927410">
            <w:r w:rsidRPr="00DE713C">
              <w:t xml:space="preserve">Установление контакта с </w:t>
            </w:r>
            <w:r w:rsidR="003F6724">
              <w:rPr>
                <w:color w:val="000000" w:themeColor="text1"/>
                <w:shd w:val="clear" w:color="auto" w:fill="FFFFFF"/>
                <w:lang w:val="kk-KZ"/>
              </w:rPr>
              <w:t>пациент</w:t>
            </w:r>
            <w:r w:rsidR="003F6724">
              <w:rPr>
                <w:color w:val="000000" w:themeColor="text1"/>
                <w:shd w:val="clear" w:color="auto" w:fill="FFFFFF"/>
                <w:lang w:val="kk-KZ"/>
              </w:rPr>
              <w:t>ом</w:t>
            </w:r>
          </w:p>
        </w:tc>
        <w:tc>
          <w:tcPr>
            <w:tcW w:w="7551" w:type="dxa"/>
            <w:hideMark/>
          </w:tcPr>
          <w:p w14:paraId="3A5FB571" w14:textId="369751CB" w:rsidR="007D3D2A" w:rsidRPr="00DE713C" w:rsidRDefault="007D3D2A" w:rsidP="00CF788F">
            <w:pPr>
              <w:jc w:val="both"/>
            </w:pPr>
            <w:r w:rsidRPr="00DE713C">
              <w:t xml:space="preserve">Поздоровайтесь, представьтесь, обозначьте свою роль: «Я окажу вам неотложную помощь. У вас, вероятно, развивается аллергическая реакция. Мы постараемся предотвратить ухудшение.» Убедитесь, что </w:t>
            </w:r>
            <w:r w:rsidR="003F6724">
              <w:rPr>
                <w:lang w:val="kk-KZ"/>
              </w:rPr>
              <w:t>пациент</w:t>
            </w:r>
            <w:r w:rsidRPr="00DE713C">
              <w:t xml:space="preserve"> вас слышит и понимает.</w:t>
            </w:r>
          </w:p>
        </w:tc>
      </w:tr>
      <w:tr w:rsidR="007D3D2A" w:rsidRPr="00DE713C" w14:paraId="2623034B" w14:textId="77777777" w:rsidTr="007D3D2A">
        <w:tc>
          <w:tcPr>
            <w:tcW w:w="0" w:type="auto"/>
            <w:hideMark/>
          </w:tcPr>
          <w:p w14:paraId="691505E5" w14:textId="77777777" w:rsidR="007D3D2A" w:rsidRPr="00DE713C" w:rsidRDefault="007D3D2A" w:rsidP="00927410">
            <w:r w:rsidRPr="00DE713C">
              <w:t>2</w:t>
            </w:r>
          </w:p>
        </w:tc>
        <w:tc>
          <w:tcPr>
            <w:tcW w:w="2192" w:type="dxa"/>
            <w:hideMark/>
          </w:tcPr>
          <w:p w14:paraId="6690149B" w14:textId="1C556384" w:rsidR="007D3D2A" w:rsidRPr="00DE713C" w:rsidRDefault="007D3D2A" w:rsidP="00927410">
            <w:r w:rsidRPr="00DE713C">
              <w:t xml:space="preserve">Обеспечение безопасности </w:t>
            </w:r>
            <w:r w:rsidR="003F6724">
              <w:rPr>
                <w:lang w:val="kk-KZ"/>
              </w:rPr>
              <w:t>пациента</w:t>
            </w:r>
            <w:r w:rsidRPr="00DE713C">
              <w:t xml:space="preserve"> и окружающих</w:t>
            </w:r>
          </w:p>
        </w:tc>
        <w:tc>
          <w:tcPr>
            <w:tcW w:w="7551" w:type="dxa"/>
            <w:hideMark/>
          </w:tcPr>
          <w:p w14:paraId="40736629" w14:textId="40C591C8" w:rsidR="007D3D2A" w:rsidRPr="00DE713C" w:rsidRDefault="007D3D2A" w:rsidP="00CF788F">
            <w:r w:rsidRPr="00DE713C">
              <w:t xml:space="preserve">Устраните возможный аллерген: </w:t>
            </w:r>
            <w:r w:rsidRPr="00DE713C">
              <w:br/>
              <w:t xml:space="preserve">– Прекратите введение лекарства </w:t>
            </w:r>
            <w:r w:rsidRPr="00DE713C">
              <w:br/>
              <w:t xml:space="preserve">– Удалите пищу, латекс и т. д. </w:t>
            </w:r>
            <w:r w:rsidRPr="00DE713C">
              <w:br/>
              <w:t>– Если укус насекомого — удалите жало аккуратно</w:t>
            </w:r>
            <w:r w:rsidRPr="00DE713C">
              <w:br/>
              <w:t xml:space="preserve">Оцените окружающую обстановку. При необходимости переместите </w:t>
            </w:r>
            <w:r w:rsidR="003F6724">
              <w:rPr>
                <w:color w:val="000000" w:themeColor="text1"/>
                <w:shd w:val="clear" w:color="auto" w:fill="FFFFFF"/>
                <w:lang w:val="kk-KZ"/>
              </w:rPr>
              <w:t>пациента</w:t>
            </w:r>
            <w:r w:rsidRPr="00DE713C">
              <w:t xml:space="preserve"> в безопасное место с доступом воздуха.</w:t>
            </w:r>
          </w:p>
        </w:tc>
      </w:tr>
      <w:tr w:rsidR="007D3D2A" w:rsidRPr="00DE713C" w14:paraId="2F6757B1" w14:textId="77777777" w:rsidTr="007D3D2A">
        <w:tc>
          <w:tcPr>
            <w:tcW w:w="0" w:type="auto"/>
            <w:hideMark/>
          </w:tcPr>
          <w:p w14:paraId="28422A44" w14:textId="77777777" w:rsidR="007D3D2A" w:rsidRPr="00DE713C" w:rsidRDefault="007D3D2A" w:rsidP="00927410">
            <w:r w:rsidRPr="00DE713C">
              <w:t>3</w:t>
            </w:r>
          </w:p>
        </w:tc>
        <w:tc>
          <w:tcPr>
            <w:tcW w:w="2192" w:type="dxa"/>
            <w:hideMark/>
          </w:tcPr>
          <w:p w14:paraId="0D5C3A43" w14:textId="04C06A07" w:rsidR="007D3D2A" w:rsidRPr="00DE713C" w:rsidRDefault="007D3D2A" w:rsidP="00927410">
            <w:r w:rsidRPr="00DE713C">
              <w:t xml:space="preserve">Оценка общего состояния </w:t>
            </w:r>
            <w:r w:rsidR="003F6724">
              <w:rPr>
                <w:color w:val="000000" w:themeColor="text1"/>
                <w:shd w:val="clear" w:color="auto" w:fill="FFFFFF"/>
                <w:lang w:val="kk-KZ"/>
              </w:rPr>
              <w:t>пациента</w:t>
            </w:r>
          </w:p>
        </w:tc>
        <w:tc>
          <w:tcPr>
            <w:tcW w:w="7551" w:type="dxa"/>
            <w:hideMark/>
          </w:tcPr>
          <w:p w14:paraId="2633E1BA" w14:textId="77777777" w:rsidR="007D3D2A" w:rsidRPr="00DE713C" w:rsidRDefault="007D3D2A" w:rsidP="00CF788F">
            <w:r w:rsidRPr="00DE713C">
              <w:t xml:space="preserve">Быстро проверьте: </w:t>
            </w:r>
            <w:r w:rsidRPr="00DE713C">
              <w:br/>
              <w:t xml:space="preserve">– Уровень сознания </w:t>
            </w:r>
            <w:r w:rsidRPr="00DE713C">
              <w:br/>
              <w:t xml:space="preserve">– Наличие дыхания и речи </w:t>
            </w:r>
            <w:r w:rsidRPr="00DE713C">
              <w:br/>
              <w:t xml:space="preserve">– Частоту пульса </w:t>
            </w:r>
            <w:r w:rsidRPr="00DE713C">
              <w:br/>
              <w:t xml:space="preserve">– Артериальное давление (если есть тонометр) </w:t>
            </w:r>
            <w:r w:rsidRPr="00DE713C">
              <w:br/>
              <w:t xml:space="preserve">– Цвет кожи, сыпь, отеки </w:t>
            </w:r>
            <w:r w:rsidRPr="00DE713C">
              <w:br/>
              <w:t>– Жалобы на зуд, удушье, головокружение, боли в животе</w:t>
            </w:r>
          </w:p>
        </w:tc>
      </w:tr>
      <w:tr w:rsidR="007D3D2A" w:rsidRPr="00DE713C" w14:paraId="30774C22" w14:textId="77777777" w:rsidTr="007D3D2A">
        <w:tc>
          <w:tcPr>
            <w:tcW w:w="0" w:type="auto"/>
            <w:hideMark/>
          </w:tcPr>
          <w:p w14:paraId="2A9BE0D7" w14:textId="77777777" w:rsidR="007D3D2A" w:rsidRPr="00DE713C" w:rsidRDefault="007D3D2A" w:rsidP="00927410">
            <w:r w:rsidRPr="00DE713C">
              <w:t>4</w:t>
            </w:r>
          </w:p>
        </w:tc>
        <w:tc>
          <w:tcPr>
            <w:tcW w:w="2192" w:type="dxa"/>
            <w:hideMark/>
          </w:tcPr>
          <w:p w14:paraId="390D7325" w14:textId="0D01A230" w:rsidR="007D3D2A" w:rsidRPr="00DE713C" w:rsidRDefault="007D3D2A" w:rsidP="00927410">
            <w:r w:rsidRPr="00DE713C">
              <w:t xml:space="preserve">Положение </w:t>
            </w:r>
            <w:r w:rsidR="003F6724">
              <w:rPr>
                <w:color w:val="000000" w:themeColor="text1"/>
                <w:shd w:val="clear" w:color="auto" w:fill="FFFFFF"/>
                <w:lang w:val="kk-KZ"/>
              </w:rPr>
              <w:t>пациента</w:t>
            </w:r>
          </w:p>
        </w:tc>
        <w:tc>
          <w:tcPr>
            <w:tcW w:w="7551" w:type="dxa"/>
            <w:hideMark/>
          </w:tcPr>
          <w:p w14:paraId="54072084" w14:textId="77777777" w:rsidR="007D3D2A" w:rsidRPr="00DE713C" w:rsidRDefault="007D3D2A" w:rsidP="00CF788F">
            <w:r w:rsidRPr="00DE713C">
              <w:t>– Крапивница, отек Квинке без дыхательных нарушений: полусидя, обеспечить доступ воздуха</w:t>
            </w:r>
            <w:r w:rsidRPr="00DE713C">
              <w:br/>
              <w:t>– Анафилактический шок: лёжа с приподнятыми ногами, голова набок</w:t>
            </w:r>
            <w:r w:rsidRPr="00DE713C">
              <w:br/>
              <w:t>– При рвоте или нарушении сознания: боковое положение</w:t>
            </w:r>
          </w:p>
        </w:tc>
      </w:tr>
      <w:tr w:rsidR="007D3D2A" w:rsidRPr="00DE713C" w14:paraId="66C0AB4B" w14:textId="77777777" w:rsidTr="007D3D2A">
        <w:tc>
          <w:tcPr>
            <w:tcW w:w="0" w:type="auto"/>
            <w:hideMark/>
          </w:tcPr>
          <w:p w14:paraId="6BB08892" w14:textId="77777777" w:rsidR="007D3D2A" w:rsidRPr="00DE713C" w:rsidRDefault="007D3D2A" w:rsidP="00927410">
            <w:r w:rsidRPr="00DE713C">
              <w:t>5</w:t>
            </w:r>
          </w:p>
        </w:tc>
        <w:tc>
          <w:tcPr>
            <w:tcW w:w="2192" w:type="dxa"/>
            <w:hideMark/>
          </w:tcPr>
          <w:p w14:paraId="6E74292B" w14:textId="77777777" w:rsidR="007D3D2A" w:rsidRPr="00DE713C" w:rsidRDefault="007D3D2A" w:rsidP="00927410">
            <w:r w:rsidRPr="00DE713C">
              <w:t>Клиническое распознавание формы аллергии</w:t>
            </w:r>
          </w:p>
        </w:tc>
        <w:tc>
          <w:tcPr>
            <w:tcW w:w="7551" w:type="dxa"/>
            <w:hideMark/>
          </w:tcPr>
          <w:p w14:paraId="795C589E" w14:textId="77777777" w:rsidR="007D3D2A" w:rsidRPr="00DE713C" w:rsidRDefault="007D3D2A" w:rsidP="00CF788F">
            <w:r w:rsidRPr="00DE713C">
              <w:t>Крапивница: сыпь, зуд, без системных проявлений</w:t>
            </w:r>
            <w:r w:rsidRPr="00DE713C">
              <w:br/>
              <w:t>Отек Квинке: отек губ, век, языка, гортани. Может нарушаться речь, дыхание</w:t>
            </w:r>
            <w:r w:rsidRPr="00DE713C">
              <w:br/>
              <w:t>Анафилактический шок: резкое падение давления, слабость, нарушение дыхания, потливость, бледность/цианоз, потеря сознания</w:t>
            </w:r>
          </w:p>
        </w:tc>
      </w:tr>
      <w:tr w:rsidR="007D3D2A" w:rsidRPr="00DE713C" w14:paraId="75973F37" w14:textId="77777777" w:rsidTr="00FF1FFE">
        <w:tc>
          <w:tcPr>
            <w:tcW w:w="0" w:type="auto"/>
            <w:hideMark/>
          </w:tcPr>
          <w:p w14:paraId="08784CDE" w14:textId="77777777" w:rsidR="007D3D2A" w:rsidRPr="00DE713C" w:rsidRDefault="007D3D2A" w:rsidP="00927410">
            <w:r w:rsidRPr="00DE713C">
              <w:t>6</w:t>
            </w:r>
          </w:p>
        </w:tc>
        <w:tc>
          <w:tcPr>
            <w:tcW w:w="2192" w:type="dxa"/>
          </w:tcPr>
          <w:p w14:paraId="0A29945A" w14:textId="4AA13FE7" w:rsidR="007D3D2A" w:rsidRPr="00DE713C" w:rsidRDefault="00FF1FFE" w:rsidP="00927410">
            <w:r>
              <w:t>Определение степени шока</w:t>
            </w:r>
          </w:p>
        </w:tc>
        <w:tc>
          <w:tcPr>
            <w:tcW w:w="7551" w:type="dxa"/>
          </w:tcPr>
          <w:p w14:paraId="4EC1A301" w14:textId="32FD9304" w:rsidR="007D3D2A" w:rsidRPr="00FF1FFE" w:rsidRDefault="00FF1FFE" w:rsidP="00CF788F">
            <w:pPr>
              <w:rPr>
                <w:lang w:val="kk-KZ"/>
              </w:rPr>
            </w:pPr>
            <w:r>
              <w:t>4 степени шока по АД:</w:t>
            </w:r>
            <w:r>
              <w:br/>
            </w:r>
            <w:r>
              <w:rPr>
                <w:lang w:val="en-US"/>
              </w:rPr>
              <w:t>I</w:t>
            </w:r>
            <w:r w:rsidRPr="00FF1FFE">
              <w:t xml:space="preserve"> </w:t>
            </w:r>
            <w:r>
              <w:t>–</w:t>
            </w:r>
            <w:r w:rsidRPr="00FF1FFE">
              <w:t xml:space="preserve"> </w:t>
            </w:r>
            <w:r>
              <w:rPr>
                <w:lang w:val="kk-KZ"/>
              </w:rPr>
              <w:t>до 90 мм.</w:t>
            </w:r>
            <w:proofErr w:type="gramStart"/>
            <w:r>
              <w:rPr>
                <w:lang w:val="kk-KZ"/>
              </w:rPr>
              <w:t>рт.ст</w:t>
            </w:r>
            <w:proofErr w:type="gramEnd"/>
            <w:r w:rsidRPr="00FF1FFE">
              <w:br/>
            </w:r>
            <w:r>
              <w:rPr>
                <w:lang w:val="en-US"/>
              </w:rPr>
              <w:t>II</w:t>
            </w:r>
            <w:r w:rsidRPr="00FF1FFE">
              <w:t xml:space="preserve"> </w:t>
            </w:r>
            <w:r>
              <w:t>–</w:t>
            </w:r>
            <w:r w:rsidRPr="00FF1FFE">
              <w:t xml:space="preserve"> </w:t>
            </w:r>
            <w:r>
              <w:rPr>
                <w:lang w:val="kk-KZ"/>
              </w:rPr>
              <w:t>60-90 мм.рт.ст</w:t>
            </w:r>
            <w:r w:rsidRPr="00FF1FFE">
              <w:br/>
            </w:r>
            <w:r>
              <w:rPr>
                <w:lang w:val="en-US"/>
              </w:rPr>
              <w:t>III</w:t>
            </w:r>
            <w:r w:rsidRPr="00FF1FFE">
              <w:t xml:space="preserve"> </w:t>
            </w:r>
            <w:r>
              <w:t>–</w:t>
            </w:r>
            <w:r w:rsidRPr="00FF1FFE">
              <w:t xml:space="preserve"> </w:t>
            </w:r>
            <w:r>
              <w:rPr>
                <w:lang w:val="kk-KZ"/>
              </w:rPr>
              <w:t>40-60 мм.рт.ст</w:t>
            </w:r>
            <w:r w:rsidRPr="00FF1FFE">
              <w:br/>
            </w:r>
            <w:r>
              <w:rPr>
                <w:lang w:val="en-US"/>
              </w:rPr>
              <w:t>IV</w:t>
            </w:r>
            <w:r w:rsidRPr="00FF1FFE">
              <w:t xml:space="preserve"> </w:t>
            </w:r>
            <w:r>
              <w:t>–</w:t>
            </w:r>
            <w:r w:rsidRPr="00FF1FFE">
              <w:t xml:space="preserve"> </w:t>
            </w:r>
            <w:r>
              <w:rPr>
                <w:lang w:val="kk-KZ"/>
              </w:rPr>
              <w:t>ниже 40 мм.рт.ст</w:t>
            </w:r>
          </w:p>
        </w:tc>
      </w:tr>
      <w:tr w:rsidR="007D3D2A" w:rsidRPr="00DE713C" w14:paraId="0BFEBA87" w14:textId="77777777" w:rsidTr="007D3D2A">
        <w:tc>
          <w:tcPr>
            <w:tcW w:w="0" w:type="auto"/>
            <w:hideMark/>
          </w:tcPr>
          <w:p w14:paraId="466129B9" w14:textId="77777777" w:rsidR="007D3D2A" w:rsidRPr="00DE713C" w:rsidRDefault="007D3D2A" w:rsidP="00927410">
            <w:r w:rsidRPr="00DE713C">
              <w:t>7</w:t>
            </w:r>
          </w:p>
        </w:tc>
        <w:tc>
          <w:tcPr>
            <w:tcW w:w="2192" w:type="dxa"/>
            <w:hideMark/>
          </w:tcPr>
          <w:p w14:paraId="188A8B15" w14:textId="77777777" w:rsidR="007D3D2A" w:rsidRPr="00DE713C" w:rsidRDefault="007D3D2A" w:rsidP="00927410">
            <w:r w:rsidRPr="00DE713C">
              <w:t>Обеспечение проходимости дыхательных путей</w:t>
            </w:r>
          </w:p>
        </w:tc>
        <w:tc>
          <w:tcPr>
            <w:tcW w:w="7551" w:type="dxa"/>
            <w:hideMark/>
          </w:tcPr>
          <w:p w14:paraId="1606552F" w14:textId="77777777" w:rsidR="007D3D2A" w:rsidRPr="00DE713C" w:rsidRDefault="007D3D2A" w:rsidP="00CF788F">
            <w:r w:rsidRPr="00DE713C">
              <w:t xml:space="preserve">– При отеке Квинке гортани или анафилаксии → следить за дыханием, при остановке – начать СЛР </w:t>
            </w:r>
            <w:r w:rsidRPr="00DE713C">
              <w:br/>
              <w:t>– Подготовить кислород (если есть), контролировать сатурацию</w:t>
            </w:r>
            <w:r w:rsidRPr="00DE713C">
              <w:br/>
              <w:t>– При нарастании обструкции – готовность к экстренной интубации/трахеотомии (в условиях СМП/стационара)</w:t>
            </w:r>
          </w:p>
        </w:tc>
      </w:tr>
      <w:tr w:rsidR="007D3D2A" w:rsidRPr="00DE713C" w14:paraId="1FB528A7" w14:textId="77777777" w:rsidTr="007D3D2A">
        <w:tc>
          <w:tcPr>
            <w:tcW w:w="0" w:type="auto"/>
            <w:hideMark/>
          </w:tcPr>
          <w:p w14:paraId="46468756" w14:textId="77777777" w:rsidR="007D3D2A" w:rsidRPr="00DE713C" w:rsidRDefault="007D3D2A" w:rsidP="00927410">
            <w:r w:rsidRPr="00DE713C">
              <w:t>8</w:t>
            </w:r>
          </w:p>
        </w:tc>
        <w:tc>
          <w:tcPr>
            <w:tcW w:w="2192" w:type="dxa"/>
            <w:hideMark/>
          </w:tcPr>
          <w:p w14:paraId="1AC2D439" w14:textId="77777777" w:rsidR="007D3D2A" w:rsidRPr="00DE713C" w:rsidRDefault="007D3D2A" w:rsidP="00927410">
            <w:r w:rsidRPr="00DE713C">
              <w:t>Контроль витальных функций и повторные дозы</w:t>
            </w:r>
          </w:p>
        </w:tc>
        <w:tc>
          <w:tcPr>
            <w:tcW w:w="7551" w:type="dxa"/>
            <w:hideMark/>
          </w:tcPr>
          <w:p w14:paraId="3F544A5A" w14:textId="772015B3" w:rsidR="007D3D2A" w:rsidRPr="00DE713C" w:rsidRDefault="007D3D2A" w:rsidP="00CF788F">
            <w:r w:rsidRPr="00DE713C">
              <w:t xml:space="preserve">– Мониторинг сознания, пульса, дыхания, давления </w:t>
            </w:r>
            <w:r w:rsidRPr="00DE713C">
              <w:br/>
              <w:t>– Обеспечьте психоэмоциональный покой</w:t>
            </w:r>
          </w:p>
        </w:tc>
      </w:tr>
      <w:tr w:rsidR="007D3D2A" w:rsidRPr="00DE713C" w14:paraId="1D743B52" w14:textId="77777777" w:rsidTr="007D3D2A">
        <w:tc>
          <w:tcPr>
            <w:tcW w:w="0" w:type="auto"/>
            <w:hideMark/>
          </w:tcPr>
          <w:p w14:paraId="03E54CDD" w14:textId="77777777" w:rsidR="007D3D2A" w:rsidRPr="00DE713C" w:rsidRDefault="007D3D2A" w:rsidP="00927410">
            <w:r w:rsidRPr="00DE713C">
              <w:t>9</w:t>
            </w:r>
          </w:p>
        </w:tc>
        <w:tc>
          <w:tcPr>
            <w:tcW w:w="2192" w:type="dxa"/>
            <w:hideMark/>
          </w:tcPr>
          <w:p w14:paraId="0EC2649F" w14:textId="77777777" w:rsidR="007D3D2A" w:rsidRPr="00DE713C" w:rsidRDefault="007D3D2A" w:rsidP="00927410">
            <w:r w:rsidRPr="00DE713C">
              <w:t>Показания к госпитализации</w:t>
            </w:r>
          </w:p>
        </w:tc>
        <w:tc>
          <w:tcPr>
            <w:tcW w:w="7551" w:type="dxa"/>
            <w:hideMark/>
          </w:tcPr>
          <w:p w14:paraId="529AF34A" w14:textId="77777777" w:rsidR="007D3D2A" w:rsidRPr="00DE713C" w:rsidRDefault="007D3D2A" w:rsidP="00CF788F">
            <w:r w:rsidRPr="00DE713C">
              <w:t xml:space="preserve">– Любой случай анафилаксии </w:t>
            </w:r>
            <w:r w:rsidRPr="00DE713C">
              <w:br/>
              <w:t xml:space="preserve">– Отек Квинке с нарушением дыхания или голосовых функций </w:t>
            </w:r>
            <w:r w:rsidRPr="00DE713C">
              <w:br/>
              <w:t xml:space="preserve">– Рецидив симптомов после первой помощи </w:t>
            </w:r>
            <w:r w:rsidRPr="00DE713C">
              <w:br/>
              <w:t>– Необходимость в кислороде, инфузионной терапии или наблюдении в стационаре</w:t>
            </w:r>
          </w:p>
        </w:tc>
      </w:tr>
      <w:tr w:rsidR="007D3D2A" w:rsidRPr="00DE713C" w14:paraId="5E2E4E58" w14:textId="77777777" w:rsidTr="007D3D2A">
        <w:tc>
          <w:tcPr>
            <w:tcW w:w="0" w:type="auto"/>
            <w:hideMark/>
          </w:tcPr>
          <w:p w14:paraId="0F147FAD" w14:textId="77777777" w:rsidR="007D3D2A" w:rsidRPr="00DE713C" w:rsidRDefault="007D3D2A" w:rsidP="00927410">
            <w:r w:rsidRPr="00DE713C">
              <w:lastRenderedPageBreak/>
              <w:t>10</w:t>
            </w:r>
          </w:p>
        </w:tc>
        <w:tc>
          <w:tcPr>
            <w:tcW w:w="2192" w:type="dxa"/>
            <w:hideMark/>
          </w:tcPr>
          <w:p w14:paraId="2072BCE2" w14:textId="77777777" w:rsidR="007D3D2A" w:rsidRPr="00DE713C" w:rsidRDefault="007D3D2A" w:rsidP="00927410">
            <w:r w:rsidRPr="00DE713C">
              <w:t>Коммуникация и завершение процедуры</w:t>
            </w:r>
          </w:p>
        </w:tc>
        <w:tc>
          <w:tcPr>
            <w:tcW w:w="7551" w:type="dxa"/>
            <w:hideMark/>
          </w:tcPr>
          <w:p w14:paraId="6CC4E3F2" w14:textId="1515351B" w:rsidR="007D3D2A" w:rsidRPr="00DE713C" w:rsidRDefault="007D3D2A" w:rsidP="00CF788F">
            <w:pPr>
              <w:jc w:val="both"/>
            </w:pPr>
            <w:r w:rsidRPr="00DE713C">
              <w:t xml:space="preserve">Сообщите </w:t>
            </w:r>
            <w:proofErr w:type="spellStart"/>
            <w:r w:rsidR="00D67620">
              <w:t>Науқас</w:t>
            </w:r>
            <w:r w:rsidRPr="00DE713C">
              <w:t>у</w:t>
            </w:r>
            <w:proofErr w:type="spellEnd"/>
            <w:r w:rsidRPr="00DE713C">
              <w:t>: «Ваше состояние стабилизировано. Но из-за риска повторной реакции вам необходима госпитализация и наблюдение.» Оставайтесь рядом до приезда СМП, продолжайте мониторинг. Сообщите бригаде СМП, какие препараты введены, когда и в какой дозе.</w:t>
            </w:r>
          </w:p>
          <w:p w14:paraId="58699D72" w14:textId="77777777" w:rsidR="007D3D2A" w:rsidRPr="00DE713C" w:rsidRDefault="007D3D2A" w:rsidP="00CF788F">
            <w:pPr>
              <w:jc w:val="both"/>
            </w:pPr>
            <w:r w:rsidRPr="00DE713C">
              <w:t xml:space="preserve">Дополнительно: </w:t>
            </w:r>
          </w:p>
          <w:p w14:paraId="66C9F2DB" w14:textId="49693A92" w:rsidR="007D3D2A" w:rsidRPr="00DE713C" w:rsidRDefault="003F6724" w:rsidP="00CF788F">
            <w:pPr>
              <w:pStyle w:val="afe"/>
              <w:numPr>
                <w:ilvl w:val="0"/>
                <w:numId w:val="13"/>
              </w:numPr>
              <w:ind w:left="359"/>
              <w:jc w:val="both"/>
            </w:pPr>
            <w:r>
              <w:rPr>
                <w:color w:val="000000" w:themeColor="text1"/>
                <w:shd w:val="clear" w:color="auto" w:fill="FFFFFF"/>
                <w:lang w:val="kk-KZ"/>
              </w:rPr>
              <w:t>пациента</w:t>
            </w:r>
            <w:r>
              <w:rPr>
                <w:color w:val="000000" w:themeColor="text1"/>
                <w:shd w:val="clear" w:color="auto" w:fill="FFFFFF"/>
                <w:lang w:val="kk-KZ"/>
              </w:rPr>
              <w:t>м</w:t>
            </w:r>
            <w:r w:rsidR="007D3D2A" w:rsidRPr="00DE713C">
              <w:t xml:space="preserve"> с анамнезом анафилаксии — всегда иметь </w:t>
            </w:r>
            <w:proofErr w:type="spellStart"/>
            <w:r w:rsidR="007D3D2A" w:rsidRPr="00DE713C">
              <w:t>автоинъектор</w:t>
            </w:r>
            <w:proofErr w:type="spellEnd"/>
            <w:r w:rsidR="007D3D2A" w:rsidRPr="00DE713C">
              <w:t xml:space="preserve"> адреналина (</w:t>
            </w:r>
            <w:proofErr w:type="spellStart"/>
            <w:r w:rsidR="007D3D2A" w:rsidRPr="00DE713C">
              <w:t>EpiPen</w:t>
            </w:r>
            <w:proofErr w:type="spellEnd"/>
            <w:r w:rsidR="007D3D2A" w:rsidRPr="00DE713C">
              <w:t>)</w:t>
            </w:r>
            <w:r w:rsidR="007D3D2A" w:rsidRPr="00DE713C">
              <w:br/>
              <w:t>Обучение членов семьи навыкам экстренной помощи при аллергии</w:t>
            </w:r>
          </w:p>
          <w:p w14:paraId="6C76B098" w14:textId="77777777" w:rsidR="007D3D2A" w:rsidRPr="00DE713C" w:rsidRDefault="007D3D2A" w:rsidP="00CF788F">
            <w:pPr>
              <w:pStyle w:val="afe"/>
              <w:numPr>
                <w:ilvl w:val="0"/>
                <w:numId w:val="13"/>
              </w:numPr>
              <w:ind w:left="359"/>
              <w:jc w:val="both"/>
            </w:pPr>
            <w:r w:rsidRPr="00DE713C">
              <w:t>При отеке гортани – никогда не поить, не давать таблетки – только инъекционная терапия</w:t>
            </w:r>
          </w:p>
          <w:p w14:paraId="2061ACC9" w14:textId="738AB0A4" w:rsidR="007D3D2A" w:rsidRPr="00DE713C" w:rsidRDefault="007D3D2A" w:rsidP="00CF788F">
            <w:pPr>
              <w:pStyle w:val="afe"/>
              <w:numPr>
                <w:ilvl w:val="0"/>
                <w:numId w:val="13"/>
              </w:numPr>
              <w:ind w:left="359"/>
              <w:jc w:val="both"/>
            </w:pPr>
            <w:r w:rsidRPr="00DE713C">
              <w:t xml:space="preserve">Не оставлять </w:t>
            </w:r>
            <w:r w:rsidR="003F6724">
              <w:rPr>
                <w:color w:val="000000" w:themeColor="text1"/>
                <w:shd w:val="clear" w:color="auto" w:fill="FFFFFF"/>
                <w:lang w:val="kk-KZ"/>
              </w:rPr>
              <w:t>пациента</w:t>
            </w:r>
            <w:r w:rsidRPr="00DE713C">
              <w:t xml:space="preserve"> одного даже при мнимом улучшении</w:t>
            </w:r>
          </w:p>
        </w:tc>
      </w:tr>
    </w:tbl>
    <w:p w14:paraId="7614B340" w14:textId="77777777" w:rsidR="007D3D2A" w:rsidRPr="00DE713C" w:rsidRDefault="007D3D2A" w:rsidP="007D3D2A">
      <w:pPr>
        <w:spacing w:line="0" w:lineRule="atLeast"/>
        <w:ind w:right="-879"/>
        <w:jc w:val="center"/>
        <w:rPr>
          <w:b/>
        </w:rPr>
      </w:pPr>
    </w:p>
    <w:p w14:paraId="56C75990" w14:textId="77777777" w:rsidR="007D3D2A" w:rsidRPr="00DE713C" w:rsidRDefault="007D3D2A" w:rsidP="007D3D2A">
      <w:pPr>
        <w:spacing w:line="0" w:lineRule="atLeast"/>
        <w:ind w:right="-879"/>
        <w:jc w:val="center"/>
        <w:rPr>
          <w:b/>
        </w:rPr>
      </w:pPr>
    </w:p>
    <w:p w14:paraId="49E3182D" w14:textId="77777777" w:rsidR="007D3D2A" w:rsidRPr="00DE713C" w:rsidRDefault="007D3D2A" w:rsidP="007D3D2A">
      <w:pPr>
        <w:spacing w:line="0" w:lineRule="atLeast"/>
        <w:ind w:right="-879"/>
        <w:jc w:val="center"/>
        <w:rPr>
          <w:b/>
        </w:rPr>
      </w:pPr>
    </w:p>
    <w:p w14:paraId="6C9480F2" w14:textId="77777777" w:rsidR="007D3D2A" w:rsidRPr="00DE713C" w:rsidRDefault="007D3D2A" w:rsidP="007D3D2A">
      <w:pPr>
        <w:spacing w:line="0" w:lineRule="atLeast"/>
        <w:ind w:right="-879"/>
        <w:jc w:val="center"/>
        <w:rPr>
          <w:b/>
        </w:rPr>
      </w:pPr>
    </w:p>
    <w:p w14:paraId="2C2DC6FE" w14:textId="77777777" w:rsidR="007D3D2A" w:rsidRPr="00DE713C" w:rsidRDefault="007D3D2A" w:rsidP="007D3D2A">
      <w:pPr>
        <w:spacing w:line="0" w:lineRule="atLeast"/>
        <w:ind w:right="-879"/>
        <w:jc w:val="center"/>
        <w:rPr>
          <w:b/>
        </w:rPr>
      </w:pPr>
    </w:p>
    <w:p w14:paraId="3F5F4E3C" w14:textId="77777777" w:rsidR="007D3D2A" w:rsidRPr="00DE713C" w:rsidRDefault="007D3D2A" w:rsidP="007D3D2A">
      <w:pPr>
        <w:spacing w:line="0" w:lineRule="atLeast"/>
        <w:ind w:right="-879"/>
        <w:jc w:val="center"/>
        <w:rPr>
          <w:b/>
        </w:rPr>
      </w:pPr>
    </w:p>
    <w:p w14:paraId="004BD92F" w14:textId="77777777" w:rsidR="007D3D2A" w:rsidRPr="00DE713C" w:rsidRDefault="007D3D2A" w:rsidP="007D3D2A">
      <w:pPr>
        <w:spacing w:line="0" w:lineRule="atLeast"/>
        <w:ind w:right="-879"/>
        <w:jc w:val="center"/>
        <w:rPr>
          <w:b/>
        </w:rPr>
      </w:pPr>
    </w:p>
    <w:p w14:paraId="01A055C3" w14:textId="77777777" w:rsidR="007D3D2A" w:rsidRPr="00DE713C" w:rsidRDefault="007D3D2A" w:rsidP="007D3D2A">
      <w:pPr>
        <w:spacing w:line="0" w:lineRule="atLeast"/>
        <w:ind w:right="-879"/>
        <w:jc w:val="center"/>
        <w:rPr>
          <w:b/>
        </w:rPr>
      </w:pPr>
    </w:p>
    <w:p w14:paraId="42923303" w14:textId="77777777" w:rsidR="007D3D2A" w:rsidRPr="00DE713C" w:rsidRDefault="007D3D2A" w:rsidP="007D3D2A">
      <w:pPr>
        <w:spacing w:line="0" w:lineRule="atLeast"/>
        <w:ind w:right="-879"/>
        <w:jc w:val="center"/>
        <w:rPr>
          <w:b/>
        </w:rPr>
      </w:pPr>
    </w:p>
    <w:p w14:paraId="2BE04A90" w14:textId="77777777" w:rsidR="007D3D2A" w:rsidRPr="00DE713C" w:rsidRDefault="007D3D2A" w:rsidP="007D3D2A">
      <w:pPr>
        <w:spacing w:line="0" w:lineRule="atLeast"/>
        <w:ind w:right="-879"/>
        <w:jc w:val="center"/>
        <w:rPr>
          <w:b/>
        </w:rPr>
      </w:pPr>
    </w:p>
    <w:p w14:paraId="5037D5C6" w14:textId="77777777" w:rsidR="007D3D2A" w:rsidRPr="00DE713C" w:rsidRDefault="007D3D2A" w:rsidP="007D3D2A">
      <w:pPr>
        <w:spacing w:line="0" w:lineRule="atLeast"/>
        <w:ind w:right="-879"/>
        <w:jc w:val="center"/>
        <w:rPr>
          <w:b/>
        </w:rPr>
      </w:pPr>
    </w:p>
    <w:p w14:paraId="698B9890" w14:textId="77777777" w:rsidR="007D3D2A" w:rsidRPr="00DE713C" w:rsidRDefault="007D3D2A" w:rsidP="007D3D2A">
      <w:pPr>
        <w:spacing w:line="0" w:lineRule="atLeast"/>
        <w:ind w:right="-879"/>
        <w:jc w:val="center"/>
        <w:rPr>
          <w:b/>
        </w:rPr>
      </w:pPr>
    </w:p>
    <w:p w14:paraId="6B615951" w14:textId="77777777" w:rsidR="007D3D2A" w:rsidRPr="00DE713C" w:rsidRDefault="007D3D2A" w:rsidP="007D3D2A">
      <w:pPr>
        <w:spacing w:line="0" w:lineRule="atLeast"/>
        <w:ind w:right="-879"/>
        <w:jc w:val="center"/>
        <w:rPr>
          <w:b/>
        </w:rPr>
      </w:pPr>
    </w:p>
    <w:p w14:paraId="4185E24A" w14:textId="77777777" w:rsidR="007D3D2A" w:rsidRPr="00DE713C" w:rsidRDefault="007D3D2A" w:rsidP="007D3D2A">
      <w:pPr>
        <w:spacing w:line="0" w:lineRule="atLeast"/>
        <w:ind w:right="-879"/>
        <w:jc w:val="center"/>
        <w:rPr>
          <w:b/>
        </w:rPr>
      </w:pPr>
    </w:p>
    <w:p w14:paraId="695082EB" w14:textId="77777777" w:rsidR="007D3D2A" w:rsidRPr="00DE713C" w:rsidRDefault="007D3D2A" w:rsidP="007D3D2A">
      <w:pPr>
        <w:spacing w:line="0" w:lineRule="atLeast"/>
        <w:ind w:right="-879"/>
        <w:jc w:val="center"/>
        <w:rPr>
          <w:b/>
        </w:rPr>
      </w:pPr>
    </w:p>
    <w:p w14:paraId="406018D4" w14:textId="77777777" w:rsidR="007D3D2A" w:rsidRPr="00DE713C" w:rsidRDefault="007D3D2A" w:rsidP="007D3D2A">
      <w:pPr>
        <w:spacing w:line="0" w:lineRule="atLeast"/>
        <w:ind w:right="-879"/>
        <w:jc w:val="center"/>
        <w:rPr>
          <w:b/>
        </w:rPr>
      </w:pPr>
    </w:p>
    <w:p w14:paraId="7C80DE11" w14:textId="77777777" w:rsidR="007D3D2A" w:rsidRPr="00DE713C" w:rsidRDefault="007D3D2A" w:rsidP="007D3D2A">
      <w:pPr>
        <w:spacing w:line="0" w:lineRule="atLeast"/>
        <w:ind w:right="-879"/>
        <w:jc w:val="center"/>
        <w:rPr>
          <w:b/>
        </w:rPr>
      </w:pPr>
    </w:p>
    <w:p w14:paraId="454A28CF" w14:textId="77777777" w:rsidR="007D3D2A" w:rsidRPr="00DE713C" w:rsidRDefault="007D3D2A" w:rsidP="007D3D2A">
      <w:pPr>
        <w:spacing w:line="0" w:lineRule="atLeast"/>
        <w:ind w:right="-879"/>
        <w:jc w:val="center"/>
        <w:rPr>
          <w:b/>
        </w:rPr>
      </w:pPr>
    </w:p>
    <w:p w14:paraId="7E8B9D43" w14:textId="77777777" w:rsidR="007D3D2A" w:rsidRPr="00DE713C" w:rsidRDefault="007D3D2A" w:rsidP="007D3D2A">
      <w:pPr>
        <w:spacing w:line="0" w:lineRule="atLeast"/>
        <w:ind w:right="-879"/>
        <w:jc w:val="center"/>
        <w:rPr>
          <w:b/>
        </w:rPr>
      </w:pPr>
    </w:p>
    <w:p w14:paraId="70B43F88" w14:textId="77777777" w:rsidR="007D3D2A" w:rsidRPr="00DE713C" w:rsidRDefault="007D3D2A" w:rsidP="007D3D2A">
      <w:pPr>
        <w:spacing w:line="0" w:lineRule="atLeast"/>
        <w:ind w:right="-879"/>
        <w:jc w:val="center"/>
        <w:rPr>
          <w:b/>
        </w:rPr>
      </w:pPr>
    </w:p>
    <w:p w14:paraId="7A73D4B2" w14:textId="77777777" w:rsidR="007D3D2A" w:rsidRPr="00DE713C" w:rsidRDefault="007D3D2A" w:rsidP="007D3D2A">
      <w:pPr>
        <w:spacing w:line="0" w:lineRule="atLeast"/>
        <w:ind w:right="-879"/>
        <w:jc w:val="center"/>
        <w:rPr>
          <w:b/>
        </w:rPr>
      </w:pPr>
    </w:p>
    <w:p w14:paraId="3013AC4B" w14:textId="77777777" w:rsidR="007D3D2A" w:rsidRPr="00DE713C" w:rsidRDefault="007D3D2A" w:rsidP="007D3D2A">
      <w:pPr>
        <w:spacing w:line="0" w:lineRule="atLeast"/>
        <w:ind w:right="-879"/>
        <w:jc w:val="center"/>
        <w:rPr>
          <w:b/>
        </w:rPr>
      </w:pPr>
    </w:p>
    <w:p w14:paraId="1AF9DA98" w14:textId="77777777" w:rsidR="007D3D2A" w:rsidRPr="00DE713C" w:rsidRDefault="007D3D2A" w:rsidP="007D3D2A">
      <w:pPr>
        <w:spacing w:line="0" w:lineRule="atLeast"/>
        <w:ind w:right="-879"/>
        <w:jc w:val="center"/>
        <w:rPr>
          <w:b/>
        </w:rPr>
      </w:pPr>
    </w:p>
    <w:p w14:paraId="09C8865A" w14:textId="77777777" w:rsidR="007D3D2A" w:rsidRPr="00DE713C" w:rsidRDefault="007D3D2A" w:rsidP="007D3D2A">
      <w:pPr>
        <w:spacing w:line="0" w:lineRule="atLeast"/>
        <w:ind w:right="-879"/>
        <w:jc w:val="center"/>
        <w:rPr>
          <w:b/>
        </w:rPr>
      </w:pPr>
    </w:p>
    <w:p w14:paraId="08F69C98" w14:textId="77777777" w:rsidR="007D3D2A" w:rsidRPr="00DE713C" w:rsidRDefault="007D3D2A" w:rsidP="007D3D2A">
      <w:pPr>
        <w:spacing w:line="0" w:lineRule="atLeast"/>
        <w:ind w:right="-879"/>
        <w:jc w:val="center"/>
        <w:rPr>
          <w:b/>
        </w:rPr>
      </w:pPr>
    </w:p>
    <w:p w14:paraId="386C5DED" w14:textId="44FDCE9A" w:rsidR="007D3D2A" w:rsidRDefault="007D3D2A" w:rsidP="007D3D2A">
      <w:pPr>
        <w:spacing w:line="0" w:lineRule="atLeast"/>
        <w:ind w:right="-879"/>
        <w:jc w:val="center"/>
        <w:rPr>
          <w:b/>
        </w:rPr>
      </w:pPr>
    </w:p>
    <w:p w14:paraId="57EBD517" w14:textId="5D0FCF02" w:rsidR="00FF1FFE" w:rsidRDefault="00FF1FFE" w:rsidP="007D3D2A">
      <w:pPr>
        <w:spacing w:line="0" w:lineRule="atLeast"/>
        <w:ind w:right="-879"/>
        <w:jc w:val="center"/>
        <w:rPr>
          <w:b/>
        </w:rPr>
      </w:pPr>
    </w:p>
    <w:p w14:paraId="42856481" w14:textId="126D8E78" w:rsidR="00B23182" w:rsidRDefault="00B23182" w:rsidP="007D3D2A">
      <w:pPr>
        <w:spacing w:line="0" w:lineRule="atLeast"/>
        <w:ind w:right="-879"/>
        <w:jc w:val="center"/>
        <w:rPr>
          <w:b/>
        </w:rPr>
      </w:pPr>
    </w:p>
    <w:p w14:paraId="0FFF50C3" w14:textId="50CA0109" w:rsidR="00B23182" w:rsidRDefault="00B23182" w:rsidP="007D3D2A">
      <w:pPr>
        <w:spacing w:line="0" w:lineRule="atLeast"/>
        <w:ind w:right="-879"/>
        <w:jc w:val="center"/>
        <w:rPr>
          <w:b/>
        </w:rPr>
      </w:pPr>
    </w:p>
    <w:p w14:paraId="709698F3" w14:textId="5C768495" w:rsidR="00B23182" w:rsidRDefault="00B23182" w:rsidP="007D3D2A">
      <w:pPr>
        <w:spacing w:line="0" w:lineRule="atLeast"/>
        <w:ind w:right="-879"/>
        <w:jc w:val="center"/>
        <w:rPr>
          <w:b/>
        </w:rPr>
      </w:pPr>
    </w:p>
    <w:p w14:paraId="49C92DF5" w14:textId="45F4E413" w:rsidR="00B23182" w:rsidRDefault="00B23182" w:rsidP="007D3D2A">
      <w:pPr>
        <w:spacing w:line="0" w:lineRule="atLeast"/>
        <w:ind w:right="-879"/>
        <w:jc w:val="center"/>
        <w:rPr>
          <w:b/>
        </w:rPr>
      </w:pPr>
    </w:p>
    <w:p w14:paraId="5EDE7F19" w14:textId="18BEC5E4" w:rsidR="00B23182" w:rsidRDefault="00B23182" w:rsidP="007D3D2A">
      <w:pPr>
        <w:spacing w:line="0" w:lineRule="atLeast"/>
        <w:ind w:right="-879"/>
        <w:jc w:val="center"/>
        <w:rPr>
          <w:b/>
        </w:rPr>
      </w:pPr>
    </w:p>
    <w:p w14:paraId="69BA6D34" w14:textId="2FFC58A1" w:rsidR="00B23182" w:rsidRDefault="00B23182" w:rsidP="007D3D2A">
      <w:pPr>
        <w:spacing w:line="0" w:lineRule="atLeast"/>
        <w:ind w:right="-879"/>
        <w:jc w:val="center"/>
        <w:rPr>
          <w:b/>
        </w:rPr>
      </w:pPr>
    </w:p>
    <w:p w14:paraId="7EE0F22D" w14:textId="16B79273" w:rsidR="00B23182" w:rsidRDefault="00B23182" w:rsidP="007D3D2A">
      <w:pPr>
        <w:spacing w:line="0" w:lineRule="atLeast"/>
        <w:ind w:right="-879"/>
        <w:jc w:val="center"/>
        <w:rPr>
          <w:b/>
        </w:rPr>
      </w:pPr>
    </w:p>
    <w:p w14:paraId="1B7A010C" w14:textId="3286F6D6" w:rsidR="00B23182" w:rsidRDefault="00B23182" w:rsidP="007D3D2A">
      <w:pPr>
        <w:spacing w:line="0" w:lineRule="atLeast"/>
        <w:ind w:right="-879"/>
        <w:jc w:val="center"/>
        <w:rPr>
          <w:b/>
        </w:rPr>
      </w:pPr>
    </w:p>
    <w:p w14:paraId="7EB84289" w14:textId="77777777" w:rsidR="00B23182" w:rsidRDefault="00B23182" w:rsidP="007D3D2A">
      <w:pPr>
        <w:spacing w:line="0" w:lineRule="atLeast"/>
        <w:ind w:right="-879"/>
        <w:jc w:val="center"/>
        <w:rPr>
          <w:b/>
        </w:rPr>
      </w:pPr>
    </w:p>
    <w:p w14:paraId="6EFD376E" w14:textId="77777777" w:rsidR="00FF1FFE" w:rsidRPr="00DE713C" w:rsidRDefault="00FF1FFE" w:rsidP="007D3D2A">
      <w:pPr>
        <w:spacing w:line="0" w:lineRule="atLeast"/>
        <w:ind w:right="-879"/>
        <w:jc w:val="center"/>
        <w:rPr>
          <w:b/>
        </w:rPr>
      </w:pPr>
    </w:p>
    <w:p w14:paraId="5804313E" w14:textId="77777777" w:rsidR="007D3D2A" w:rsidRPr="00DE713C" w:rsidRDefault="007D3D2A" w:rsidP="007D3D2A">
      <w:pPr>
        <w:spacing w:line="0" w:lineRule="atLeast"/>
        <w:ind w:right="-879"/>
        <w:jc w:val="center"/>
        <w:rPr>
          <w:b/>
        </w:rPr>
      </w:pPr>
    </w:p>
    <w:sectPr w:rsidR="007D3D2A" w:rsidRPr="00DE713C" w:rsidSect="00DA482C">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6531C" w14:textId="77777777" w:rsidR="00DE1888" w:rsidRDefault="00DE1888">
      <w:r>
        <w:separator/>
      </w:r>
    </w:p>
  </w:endnote>
  <w:endnote w:type="continuationSeparator" w:id="0">
    <w:p w14:paraId="0BE1355A" w14:textId="77777777" w:rsidR="00DE1888" w:rsidRDefault="00DE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09434" w14:textId="77777777" w:rsidR="00DE1888" w:rsidRDefault="00DE1888">
      <w:r>
        <w:separator/>
      </w:r>
    </w:p>
  </w:footnote>
  <w:footnote w:type="continuationSeparator" w:id="0">
    <w:p w14:paraId="165F3D27" w14:textId="77777777" w:rsidR="00DE1888" w:rsidRDefault="00DE1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864B" w14:textId="77777777" w:rsidR="00061DC8" w:rsidRDefault="00061DC8">
    <w:pPr>
      <w:widowControl w:val="0"/>
      <w:pBdr>
        <w:top w:val="nil"/>
        <w:left w:val="nil"/>
        <w:bottom w:val="nil"/>
        <w:right w:val="nil"/>
        <w:between w:val="nil"/>
      </w:pBdr>
      <w:spacing w:line="276" w:lineRule="auto"/>
    </w:pPr>
  </w:p>
  <w:tbl>
    <w:tblPr>
      <w:tblStyle w:val="af9"/>
      <w:tblW w:w="502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9"/>
      <w:gridCol w:w="3801"/>
      <w:gridCol w:w="3219"/>
      <w:gridCol w:w="1991"/>
    </w:tblGrid>
    <w:tr w:rsidR="00061DC8" w14:paraId="1C3CADE7" w14:textId="77777777" w:rsidTr="00DA482C">
      <w:trPr>
        <w:trHeight w:val="435"/>
      </w:trPr>
      <w:tc>
        <w:tcPr>
          <w:tcW w:w="600" w:type="pct"/>
          <w:vMerge w:val="restart"/>
        </w:tcPr>
        <w:p w14:paraId="6C0BBC04" w14:textId="77777777" w:rsidR="00061DC8" w:rsidRDefault="00FE0784">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25C9C7F5" wp14:editId="4908BE3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1938DE51" w14:textId="77777777" w:rsidR="00061DC8" w:rsidRPr="004458C1" w:rsidRDefault="00061DC8">
          <w:pPr>
            <w:pBdr>
              <w:top w:val="nil"/>
              <w:left w:val="nil"/>
              <w:bottom w:val="nil"/>
              <w:right w:val="nil"/>
              <w:between w:val="nil"/>
            </w:pBdr>
            <w:tabs>
              <w:tab w:val="center" w:pos="4677"/>
              <w:tab w:val="right" w:pos="9355"/>
            </w:tabs>
            <w:jc w:val="center"/>
            <w:rPr>
              <w:b/>
              <w:color w:val="000000"/>
              <w:sz w:val="17"/>
              <w:szCs w:val="17"/>
            </w:rPr>
          </w:pPr>
        </w:p>
        <w:p w14:paraId="35B57C74" w14:textId="77777777" w:rsidR="00061DC8" w:rsidRPr="004458C1" w:rsidRDefault="00FE0784">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0E743C5E" w14:textId="77777777" w:rsidR="00061DC8" w:rsidRPr="004458C1" w:rsidRDefault="00FE0784">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DA482C" w14:paraId="4CF16E6F" w14:textId="77777777" w:rsidTr="00DA482C">
      <w:trPr>
        <w:trHeight w:val="196"/>
      </w:trPr>
      <w:tc>
        <w:tcPr>
          <w:tcW w:w="600" w:type="pct"/>
          <w:vMerge/>
        </w:tcPr>
        <w:p w14:paraId="5EE842E5" w14:textId="77777777" w:rsidR="00DA482C" w:rsidRDefault="00DA482C" w:rsidP="00DA482C">
          <w:pPr>
            <w:widowControl w:val="0"/>
            <w:pBdr>
              <w:top w:val="nil"/>
              <w:left w:val="nil"/>
              <w:bottom w:val="nil"/>
              <w:right w:val="nil"/>
              <w:between w:val="nil"/>
            </w:pBdr>
            <w:spacing w:line="276" w:lineRule="auto"/>
            <w:rPr>
              <w:b/>
              <w:color w:val="000000"/>
              <w:sz w:val="17"/>
              <w:szCs w:val="17"/>
            </w:rPr>
          </w:pPr>
        </w:p>
      </w:tc>
      <w:tc>
        <w:tcPr>
          <w:tcW w:w="1856" w:type="pct"/>
          <w:vMerge w:val="restart"/>
        </w:tcPr>
        <w:p w14:paraId="37B6A96C" w14:textId="7CF2942F" w:rsidR="00DA482C" w:rsidRPr="004458C1" w:rsidRDefault="00DA482C" w:rsidP="00DA482C">
          <w:pPr>
            <w:pBdr>
              <w:top w:val="nil"/>
              <w:left w:val="nil"/>
              <w:bottom w:val="nil"/>
              <w:right w:val="nil"/>
              <w:between w:val="nil"/>
            </w:pBdr>
            <w:tabs>
              <w:tab w:val="center" w:pos="4677"/>
              <w:tab w:val="right" w:pos="9355"/>
            </w:tabs>
            <w:jc w:val="center"/>
            <w:rPr>
              <w:rFonts w:eastAsia="Tahoma"/>
              <w:color w:val="000000"/>
              <w:sz w:val="17"/>
              <w:szCs w:val="17"/>
            </w:rPr>
          </w:pPr>
          <w:proofErr w:type="spellStart"/>
          <w:r>
            <w:rPr>
              <w:rFonts w:eastAsia="Tahoma"/>
              <w:color w:val="000000"/>
              <w:sz w:val="17"/>
              <w:szCs w:val="17"/>
            </w:rPr>
            <w:t>Симуляционный</w:t>
          </w:r>
          <w:proofErr w:type="spellEnd"/>
          <w:r>
            <w:rPr>
              <w:rFonts w:eastAsia="Tahoma"/>
              <w:color w:val="000000"/>
              <w:sz w:val="17"/>
              <w:szCs w:val="17"/>
            </w:rPr>
            <w:t xml:space="preserve"> Центр</w:t>
          </w:r>
        </w:p>
      </w:tc>
      <w:tc>
        <w:tcPr>
          <w:tcW w:w="1572" w:type="pct"/>
          <w:vMerge w:val="restart"/>
        </w:tcPr>
        <w:p w14:paraId="7380A7D0" w14:textId="095121D2" w:rsidR="00DA482C" w:rsidRPr="004458C1" w:rsidRDefault="00DA482C" w:rsidP="00DA482C">
          <w:pPr>
            <w:pBdr>
              <w:top w:val="nil"/>
              <w:left w:val="nil"/>
              <w:bottom w:val="nil"/>
              <w:right w:val="nil"/>
              <w:between w:val="nil"/>
            </w:pBdr>
            <w:tabs>
              <w:tab w:val="center" w:pos="4677"/>
              <w:tab w:val="right" w:pos="9355"/>
            </w:tabs>
            <w:jc w:val="center"/>
            <w:rPr>
              <w:rFonts w:eastAsia="Tahoma"/>
              <w:color w:val="000000"/>
              <w:sz w:val="17"/>
              <w:szCs w:val="17"/>
            </w:rPr>
          </w:pPr>
          <w:r>
            <w:rPr>
              <w:rFonts w:eastAsia="Tahoma"/>
              <w:color w:val="000000"/>
              <w:sz w:val="17"/>
              <w:szCs w:val="17"/>
            </w:rPr>
            <w:t>Алгоритм</w:t>
          </w:r>
        </w:p>
      </w:tc>
      <w:tc>
        <w:tcPr>
          <w:tcW w:w="972" w:type="pct"/>
        </w:tcPr>
        <w:p w14:paraId="29B2D711" w14:textId="5B437FEC" w:rsidR="00DA482C" w:rsidRDefault="00DA482C" w:rsidP="00DA482C">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DA482C" w14:paraId="055684EA" w14:textId="77777777" w:rsidTr="00DA482C">
      <w:trPr>
        <w:trHeight w:val="152"/>
      </w:trPr>
      <w:tc>
        <w:tcPr>
          <w:tcW w:w="600" w:type="pct"/>
          <w:vMerge/>
        </w:tcPr>
        <w:p w14:paraId="65266832" w14:textId="77777777" w:rsidR="00DA482C" w:rsidRDefault="00DA482C" w:rsidP="00DA482C">
          <w:pPr>
            <w:widowControl w:val="0"/>
            <w:pBdr>
              <w:top w:val="nil"/>
              <w:left w:val="nil"/>
              <w:bottom w:val="nil"/>
              <w:right w:val="nil"/>
              <w:between w:val="nil"/>
            </w:pBdr>
            <w:spacing w:line="276" w:lineRule="auto"/>
            <w:rPr>
              <w:color w:val="000000"/>
              <w:sz w:val="17"/>
              <w:szCs w:val="17"/>
            </w:rPr>
          </w:pPr>
        </w:p>
      </w:tc>
      <w:tc>
        <w:tcPr>
          <w:tcW w:w="1856" w:type="pct"/>
          <w:vMerge/>
          <w:vAlign w:val="center"/>
        </w:tcPr>
        <w:p w14:paraId="0D783822" w14:textId="77777777" w:rsidR="00DA482C" w:rsidRDefault="00DA482C" w:rsidP="00DA482C">
          <w:pPr>
            <w:widowControl w:val="0"/>
            <w:pBdr>
              <w:top w:val="nil"/>
              <w:left w:val="nil"/>
              <w:bottom w:val="nil"/>
              <w:right w:val="nil"/>
              <w:between w:val="nil"/>
            </w:pBdr>
            <w:spacing w:line="276" w:lineRule="auto"/>
            <w:rPr>
              <w:color w:val="000000"/>
              <w:sz w:val="17"/>
              <w:szCs w:val="17"/>
            </w:rPr>
          </w:pPr>
        </w:p>
      </w:tc>
      <w:tc>
        <w:tcPr>
          <w:tcW w:w="1572" w:type="pct"/>
          <w:vMerge/>
          <w:vAlign w:val="center"/>
        </w:tcPr>
        <w:p w14:paraId="580E2E64" w14:textId="77777777" w:rsidR="00DA482C" w:rsidRDefault="00DA482C" w:rsidP="00DA482C">
          <w:pPr>
            <w:widowControl w:val="0"/>
            <w:pBdr>
              <w:top w:val="nil"/>
              <w:left w:val="nil"/>
              <w:bottom w:val="nil"/>
              <w:right w:val="nil"/>
              <w:between w:val="nil"/>
            </w:pBdr>
            <w:spacing w:line="276" w:lineRule="auto"/>
            <w:rPr>
              <w:color w:val="000000"/>
              <w:sz w:val="17"/>
              <w:szCs w:val="17"/>
            </w:rPr>
          </w:pPr>
        </w:p>
      </w:tc>
      <w:tc>
        <w:tcPr>
          <w:tcW w:w="972" w:type="pct"/>
        </w:tcPr>
        <w:p w14:paraId="33169B74" w14:textId="6303EA6B" w:rsidR="00DA482C" w:rsidRDefault="00DA482C" w:rsidP="00DA482C">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 xml:space="preserve">Страница </w:t>
          </w:r>
          <w:r>
            <w:rPr>
              <w:color w:val="7030A0"/>
              <w:sz w:val="17"/>
              <w:szCs w:val="17"/>
            </w:rPr>
            <w:fldChar w:fldCharType="begin"/>
          </w:r>
          <w:r>
            <w:rPr>
              <w:color w:val="7030A0"/>
              <w:sz w:val="17"/>
              <w:szCs w:val="17"/>
            </w:rPr>
            <w:instrText>PAGE</w:instrText>
          </w:r>
          <w:r>
            <w:rPr>
              <w:color w:val="7030A0"/>
              <w:sz w:val="17"/>
              <w:szCs w:val="17"/>
            </w:rPr>
            <w:fldChar w:fldCharType="separate"/>
          </w:r>
          <w:r>
            <w:rPr>
              <w:noProof/>
              <w:color w:val="7030A0"/>
              <w:sz w:val="17"/>
              <w:szCs w:val="17"/>
            </w:rPr>
            <w:t>1</w:t>
          </w:r>
          <w:r>
            <w:rPr>
              <w:color w:val="7030A0"/>
              <w:sz w:val="17"/>
              <w:szCs w:val="17"/>
            </w:rPr>
            <w:fldChar w:fldCharType="end"/>
          </w:r>
          <w:r>
            <w:rPr>
              <w:color w:val="7030A0"/>
              <w:sz w:val="17"/>
              <w:szCs w:val="17"/>
            </w:rPr>
            <w:t xml:space="preserve"> из </w:t>
          </w:r>
          <w:r>
            <w:rPr>
              <w:color w:val="7030A0"/>
              <w:sz w:val="17"/>
              <w:szCs w:val="17"/>
            </w:rPr>
            <w:fldChar w:fldCharType="begin"/>
          </w:r>
          <w:r>
            <w:rPr>
              <w:color w:val="7030A0"/>
              <w:sz w:val="17"/>
              <w:szCs w:val="17"/>
            </w:rPr>
            <w:instrText>NUMPAGES</w:instrText>
          </w:r>
          <w:r>
            <w:rPr>
              <w:color w:val="7030A0"/>
              <w:sz w:val="17"/>
              <w:szCs w:val="17"/>
            </w:rPr>
            <w:fldChar w:fldCharType="separate"/>
          </w:r>
          <w:r>
            <w:rPr>
              <w:noProof/>
              <w:color w:val="7030A0"/>
              <w:sz w:val="17"/>
              <w:szCs w:val="17"/>
            </w:rPr>
            <w:t>2</w:t>
          </w:r>
          <w:r>
            <w:rPr>
              <w:color w:val="7030A0"/>
              <w:sz w:val="17"/>
              <w:szCs w:val="17"/>
            </w:rPr>
            <w:fldChar w:fldCharType="end"/>
          </w:r>
        </w:p>
      </w:tc>
    </w:tr>
  </w:tbl>
  <w:p w14:paraId="6335BB54" w14:textId="77777777" w:rsidR="00061DC8" w:rsidRDefault="00061DC8">
    <w:pPr>
      <w:rPr>
        <w:sz w:val="2"/>
        <w:szCs w:val="2"/>
      </w:rPr>
    </w:pPr>
  </w:p>
  <w:p w14:paraId="1F6079CF" w14:textId="77777777" w:rsidR="00061DC8" w:rsidRDefault="00061DC8">
    <w:pPr>
      <w:pBdr>
        <w:top w:val="nil"/>
        <w:left w:val="nil"/>
        <w:bottom w:val="nil"/>
        <w:right w:val="nil"/>
        <w:between w:val="nil"/>
      </w:pBdr>
      <w:tabs>
        <w:tab w:val="center" w:pos="4677"/>
        <w:tab w:val="right" w:pos="9355"/>
      </w:tabs>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B0A96"/>
    <w:rsid w:val="000B5A04"/>
    <w:rsid w:val="000C045E"/>
    <w:rsid w:val="000C1F7A"/>
    <w:rsid w:val="000C4525"/>
    <w:rsid w:val="000F35B9"/>
    <w:rsid w:val="00105C77"/>
    <w:rsid w:val="00133751"/>
    <w:rsid w:val="001501DF"/>
    <w:rsid w:val="00161EC0"/>
    <w:rsid w:val="00162ABA"/>
    <w:rsid w:val="00163079"/>
    <w:rsid w:val="00163251"/>
    <w:rsid w:val="00183C5D"/>
    <w:rsid w:val="00187494"/>
    <w:rsid w:val="00190366"/>
    <w:rsid w:val="001D6948"/>
    <w:rsid w:val="001D7E79"/>
    <w:rsid w:val="001E3479"/>
    <w:rsid w:val="00200FA7"/>
    <w:rsid w:val="00207F34"/>
    <w:rsid w:val="0022412B"/>
    <w:rsid w:val="002241E4"/>
    <w:rsid w:val="00232179"/>
    <w:rsid w:val="002600FA"/>
    <w:rsid w:val="00270F16"/>
    <w:rsid w:val="0029492B"/>
    <w:rsid w:val="002B33FB"/>
    <w:rsid w:val="002B6C12"/>
    <w:rsid w:val="002D224E"/>
    <w:rsid w:val="002E6672"/>
    <w:rsid w:val="00323823"/>
    <w:rsid w:val="003656DF"/>
    <w:rsid w:val="003A79C6"/>
    <w:rsid w:val="003B3505"/>
    <w:rsid w:val="003D4251"/>
    <w:rsid w:val="003F5B15"/>
    <w:rsid w:val="003F6724"/>
    <w:rsid w:val="0042234F"/>
    <w:rsid w:val="0042795B"/>
    <w:rsid w:val="00436B44"/>
    <w:rsid w:val="004458C1"/>
    <w:rsid w:val="00462487"/>
    <w:rsid w:val="0047051A"/>
    <w:rsid w:val="004708E1"/>
    <w:rsid w:val="00477595"/>
    <w:rsid w:val="004B2D3D"/>
    <w:rsid w:val="004F2C83"/>
    <w:rsid w:val="00514F6A"/>
    <w:rsid w:val="005233F4"/>
    <w:rsid w:val="00543140"/>
    <w:rsid w:val="005445F0"/>
    <w:rsid w:val="00573E62"/>
    <w:rsid w:val="005928BF"/>
    <w:rsid w:val="005975C9"/>
    <w:rsid w:val="005B6474"/>
    <w:rsid w:val="005D5773"/>
    <w:rsid w:val="005D6DD3"/>
    <w:rsid w:val="005E74F7"/>
    <w:rsid w:val="0060311E"/>
    <w:rsid w:val="00606AD5"/>
    <w:rsid w:val="006447D5"/>
    <w:rsid w:val="00656D2A"/>
    <w:rsid w:val="006B5F4C"/>
    <w:rsid w:val="006C1F18"/>
    <w:rsid w:val="006D61C7"/>
    <w:rsid w:val="006E3530"/>
    <w:rsid w:val="006F4A15"/>
    <w:rsid w:val="006F7D18"/>
    <w:rsid w:val="007110D3"/>
    <w:rsid w:val="0074246D"/>
    <w:rsid w:val="00757738"/>
    <w:rsid w:val="00772D5A"/>
    <w:rsid w:val="007817C2"/>
    <w:rsid w:val="007873FF"/>
    <w:rsid w:val="00793705"/>
    <w:rsid w:val="007952F7"/>
    <w:rsid w:val="007B5830"/>
    <w:rsid w:val="007D3D2A"/>
    <w:rsid w:val="00801CEC"/>
    <w:rsid w:val="0080367A"/>
    <w:rsid w:val="00836656"/>
    <w:rsid w:val="008414B7"/>
    <w:rsid w:val="008422F5"/>
    <w:rsid w:val="00861219"/>
    <w:rsid w:val="00872249"/>
    <w:rsid w:val="00872A7F"/>
    <w:rsid w:val="0089232B"/>
    <w:rsid w:val="00892B78"/>
    <w:rsid w:val="008A0B4B"/>
    <w:rsid w:val="008B26AD"/>
    <w:rsid w:val="008B544C"/>
    <w:rsid w:val="008C5B8A"/>
    <w:rsid w:val="008D1AB5"/>
    <w:rsid w:val="00950032"/>
    <w:rsid w:val="009612A0"/>
    <w:rsid w:val="00961E81"/>
    <w:rsid w:val="00974C10"/>
    <w:rsid w:val="00986E2C"/>
    <w:rsid w:val="00990E8F"/>
    <w:rsid w:val="00996B62"/>
    <w:rsid w:val="009B6E98"/>
    <w:rsid w:val="009E00C8"/>
    <w:rsid w:val="00A138F0"/>
    <w:rsid w:val="00A32975"/>
    <w:rsid w:val="00A44532"/>
    <w:rsid w:val="00A77C91"/>
    <w:rsid w:val="00A86292"/>
    <w:rsid w:val="00AD189E"/>
    <w:rsid w:val="00AD6DAE"/>
    <w:rsid w:val="00AE08E7"/>
    <w:rsid w:val="00AF219A"/>
    <w:rsid w:val="00B1169F"/>
    <w:rsid w:val="00B23182"/>
    <w:rsid w:val="00B41628"/>
    <w:rsid w:val="00B63349"/>
    <w:rsid w:val="00B923F7"/>
    <w:rsid w:val="00B93DBB"/>
    <w:rsid w:val="00BA6967"/>
    <w:rsid w:val="00BA6B07"/>
    <w:rsid w:val="00BB04D2"/>
    <w:rsid w:val="00BD66D0"/>
    <w:rsid w:val="00BF03D4"/>
    <w:rsid w:val="00BF4F6A"/>
    <w:rsid w:val="00C10F9F"/>
    <w:rsid w:val="00C546FE"/>
    <w:rsid w:val="00C56DF4"/>
    <w:rsid w:val="00C72A9D"/>
    <w:rsid w:val="00C85662"/>
    <w:rsid w:val="00C9451D"/>
    <w:rsid w:val="00CA71B7"/>
    <w:rsid w:val="00CD418F"/>
    <w:rsid w:val="00CE30A2"/>
    <w:rsid w:val="00CF788F"/>
    <w:rsid w:val="00D14337"/>
    <w:rsid w:val="00D24E5D"/>
    <w:rsid w:val="00D37D4D"/>
    <w:rsid w:val="00D61772"/>
    <w:rsid w:val="00D67620"/>
    <w:rsid w:val="00D90504"/>
    <w:rsid w:val="00D92897"/>
    <w:rsid w:val="00DA482C"/>
    <w:rsid w:val="00DB1F33"/>
    <w:rsid w:val="00DD5D66"/>
    <w:rsid w:val="00DE1888"/>
    <w:rsid w:val="00DE713C"/>
    <w:rsid w:val="00DF7AD2"/>
    <w:rsid w:val="00E25549"/>
    <w:rsid w:val="00E66723"/>
    <w:rsid w:val="00E73487"/>
    <w:rsid w:val="00E902E8"/>
    <w:rsid w:val="00EA1B75"/>
    <w:rsid w:val="00EB7FF0"/>
    <w:rsid w:val="00ED48AC"/>
    <w:rsid w:val="00EE073A"/>
    <w:rsid w:val="00F05F37"/>
    <w:rsid w:val="00F06C14"/>
    <w:rsid w:val="00F1542F"/>
    <w:rsid w:val="00F606F5"/>
    <w:rsid w:val="00F87715"/>
    <w:rsid w:val="00FA5D4F"/>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Pages>
  <Words>430</Words>
  <Characters>2454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63</cp:revision>
  <cp:lastPrinted>2025-09-19T07:36:00Z</cp:lastPrinted>
  <dcterms:created xsi:type="dcterms:W3CDTF">2025-09-19T07:37:00Z</dcterms:created>
  <dcterms:modified xsi:type="dcterms:W3CDTF">2025-12-02T11:24:00Z</dcterms:modified>
</cp:coreProperties>
</file>