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E1E58" w14:textId="77777777" w:rsidR="00E5375B" w:rsidRDefault="00E5375B" w:rsidP="00A453E5">
      <w:pPr>
        <w:rPr>
          <w:b/>
        </w:rPr>
      </w:pPr>
    </w:p>
    <w:p w14:paraId="17DF6F0B" w14:textId="77777777" w:rsidR="00115640" w:rsidRDefault="00115640" w:rsidP="00115640">
      <w:pPr>
        <w:ind w:right="-879"/>
        <w:jc w:val="center"/>
        <w:rPr>
          <w:b/>
          <w:color w:val="1155CC"/>
        </w:rPr>
      </w:pPr>
      <w:bookmarkStart w:id="0" w:name="_tgambadhrcdc" w:colFirst="0" w:colLast="0"/>
      <w:bookmarkEnd w:id="0"/>
      <w:r>
        <w:rPr>
          <w:b/>
        </w:rPr>
        <w:t xml:space="preserve">«Скорая медицинская помощь при анафилактическом шоке» </w:t>
      </w:r>
    </w:p>
    <w:p w14:paraId="71B3AF04" w14:textId="77777777" w:rsidR="00115640" w:rsidRDefault="00115640" w:rsidP="00115640">
      <w:pPr>
        <w:ind w:right="-879"/>
        <w:jc w:val="center"/>
        <w:rPr>
          <w:b/>
          <w:color w:val="1155CC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733"/>
        <w:gridCol w:w="7019"/>
      </w:tblGrid>
      <w:tr w:rsidR="00115640" w14:paraId="4365672E" w14:textId="77777777" w:rsidTr="00EF37EA">
        <w:trPr>
          <w:trHeight w:val="10"/>
        </w:trPr>
        <w:tc>
          <w:tcPr>
            <w:tcW w:w="421" w:type="dxa"/>
          </w:tcPr>
          <w:p w14:paraId="154E2B3C" w14:textId="77777777" w:rsidR="00115640" w:rsidRDefault="00115640" w:rsidP="00EF37EA">
            <w:pPr>
              <w:ind w:right="-879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33" w:type="dxa"/>
          </w:tcPr>
          <w:p w14:paraId="72DD5D28" w14:textId="77777777" w:rsidR="00115640" w:rsidRDefault="00115640" w:rsidP="00EF37EA">
            <w:pPr>
              <w:ind w:right="-879"/>
              <w:jc w:val="center"/>
              <w:rPr>
                <w:b/>
              </w:rPr>
            </w:pPr>
            <w:r>
              <w:rPr>
                <w:b/>
              </w:rPr>
              <w:t>Шаги</w:t>
            </w:r>
          </w:p>
        </w:tc>
        <w:tc>
          <w:tcPr>
            <w:tcW w:w="7019" w:type="dxa"/>
          </w:tcPr>
          <w:p w14:paraId="314BC8DC" w14:textId="77777777" w:rsidR="00115640" w:rsidRDefault="00115640" w:rsidP="00EF37EA">
            <w:pPr>
              <w:ind w:right="-879"/>
              <w:jc w:val="center"/>
              <w:rPr>
                <w:b/>
              </w:rPr>
            </w:pPr>
            <w:r>
              <w:rPr>
                <w:b/>
              </w:rPr>
              <w:t>Алгоритм действия</w:t>
            </w:r>
          </w:p>
        </w:tc>
      </w:tr>
      <w:tr w:rsidR="00115640" w14:paraId="7EAC8917" w14:textId="77777777" w:rsidTr="00EF37EA">
        <w:trPr>
          <w:trHeight w:val="10"/>
        </w:trPr>
        <w:tc>
          <w:tcPr>
            <w:tcW w:w="10173" w:type="dxa"/>
            <w:gridSpan w:val="3"/>
          </w:tcPr>
          <w:p w14:paraId="24341F96" w14:textId="77777777" w:rsidR="00115640" w:rsidRDefault="00115640" w:rsidP="00EF37EA">
            <w:pPr>
              <w:ind w:right="-879"/>
              <w:jc w:val="center"/>
              <w:rPr>
                <w:b/>
              </w:rPr>
            </w:pPr>
            <w:r>
              <w:rPr>
                <w:b/>
              </w:rPr>
              <w:t>Тактика ведения:</w:t>
            </w:r>
          </w:p>
        </w:tc>
      </w:tr>
      <w:tr w:rsidR="00115640" w14:paraId="23F215FC" w14:textId="77777777" w:rsidTr="00EF37EA">
        <w:trPr>
          <w:trHeight w:val="77"/>
        </w:trPr>
        <w:tc>
          <w:tcPr>
            <w:tcW w:w="421" w:type="dxa"/>
          </w:tcPr>
          <w:p w14:paraId="3C144220" w14:textId="77777777" w:rsidR="00115640" w:rsidRDefault="00115640" w:rsidP="00EF37EA">
            <w:pPr>
              <w:ind w:right="-879"/>
            </w:pPr>
            <w:r>
              <w:t>1</w:t>
            </w:r>
          </w:p>
        </w:tc>
        <w:tc>
          <w:tcPr>
            <w:tcW w:w="2733" w:type="dxa"/>
          </w:tcPr>
          <w:p w14:paraId="70398862" w14:textId="77777777" w:rsidR="00115640" w:rsidRDefault="00115640" w:rsidP="00EF37EA">
            <w:pPr>
              <w:tabs>
                <w:tab w:val="left" w:pos="2445"/>
                <w:tab w:val="left" w:pos="3312"/>
              </w:tabs>
              <w:ind w:right="28"/>
            </w:pPr>
            <w:r>
              <w:t>Немедленное прекращение контакта с аллергеном</w:t>
            </w:r>
          </w:p>
        </w:tc>
        <w:tc>
          <w:tcPr>
            <w:tcW w:w="7019" w:type="dxa"/>
          </w:tcPr>
          <w:p w14:paraId="6A3211BC" w14:textId="77777777" w:rsidR="00115640" w:rsidRDefault="00115640" w:rsidP="00EF37EA">
            <w:r>
              <w:t>Действие: прекратить введение лекарства.</w:t>
            </w:r>
          </w:p>
          <w:p w14:paraId="1DDF3623" w14:textId="77777777" w:rsidR="00115640" w:rsidRDefault="00115640" w:rsidP="00EF37EA">
            <w:r>
              <w:t>Удалить жало (если укус насекомого).</w:t>
            </w:r>
          </w:p>
          <w:p w14:paraId="172C9237" w14:textId="77777777" w:rsidR="00115640" w:rsidRDefault="00115640" w:rsidP="00EF37EA">
            <w:r>
              <w:t>Наложить жгут выше места инъекции/укуса (если возможно).</w:t>
            </w:r>
          </w:p>
        </w:tc>
      </w:tr>
      <w:tr w:rsidR="00115640" w14:paraId="7C87656F" w14:textId="77777777" w:rsidTr="00EF37EA">
        <w:trPr>
          <w:trHeight w:val="143"/>
        </w:trPr>
        <w:tc>
          <w:tcPr>
            <w:tcW w:w="421" w:type="dxa"/>
          </w:tcPr>
          <w:p w14:paraId="19421B66" w14:textId="77777777" w:rsidR="00115640" w:rsidRDefault="00115640" w:rsidP="00EF37EA">
            <w:pPr>
              <w:ind w:right="-879"/>
            </w:pPr>
            <w:r>
              <w:t>2</w:t>
            </w:r>
          </w:p>
        </w:tc>
        <w:tc>
          <w:tcPr>
            <w:tcW w:w="2733" w:type="dxa"/>
          </w:tcPr>
          <w:p w14:paraId="1821CA09" w14:textId="77777777" w:rsidR="00115640" w:rsidRDefault="00115640" w:rsidP="00EF37EA">
            <w:pPr>
              <w:tabs>
                <w:tab w:val="left" w:pos="2445"/>
                <w:tab w:val="left" w:pos="3312"/>
              </w:tabs>
              <w:ind w:right="28"/>
            </w:pPr>
            <w:r>
              <w:t>Оценка состояния по ABCDE</w:t>
            </w:r>
          </w:p>
        </w:tc>
        <w:tc>
          <w:tcPr>
            <w:tcW w:w="7019" w:type="dxa"/>
          </w:tcPr>
          <w:p w14:paraId="635074AA" w14:textId="77777777" w:rsidR="00115640" w:rsidRDefault="00115640" w:rsidP="00EF37EA">
            <w:pPr>
              <w:ind w:right="33"/>
              <w:jc w:val="both"/>
            </w:pPr>
            <w:r>
              <w:t>A (</w:t>
            </w:r>
            <w:proofErr w:type="spellStart"/>
            <w:r>
              <w:t>Airway</w:t>
            </w:r>
            <w:proofErr w:type="spellEnd"/>
            <w:r>
              <w:t>): проверить проходимость дыхательных путей (отек, стридор).</w:t>
            </w:r>
          </w:p>
          <w:p w14:paraId="20987CD8" w14:textId="77777777" w:rsidR="00115640" w:rsidRDefault="00115640" w:rsidP="00EF37EA">
            <w:pPr>
              <w:ind w:right="33"/>
              <w:jc w:val="both"/>
            </w:pPr>
            <w:r>
              <w:t>B (</w:t>
            </w:r>
            <w:proofErr w:type="spellStart"/>
            <w:r>
              <w:t>Breathing</w:t>
            </w:r>
            <w:proofErr w:type="spellEnd"/>
            <w:r>
              <w:t xml:space="preserve">): Частота и глубина дыхания, </w:t>
            </w:r>
            <w:proofErr w:type="spellStart"/>
            <w:r>
              <w:t>SpO</w:t>
            </w:r>
            <w:proofErr w:type="spellEnd"/>
            <w:r>
              <w:t>₂. По принципу вижу, слышу, чувствую, установка пульсоксиметра.</w:t>
            </w:r>
          </w:p>
          <w:p w14:paraId="14FA3134" w14:textId="77777777" w:rsidR="00115640" w:rsidRPr="00AE3FBA" w:rsidRDefault="00115640" w:rsidP="00EF37EA">
            <w:pPr>
              <w:ind w:right="33"/>
              <w:jc w:val="both"/>
            </w:pPr>
            <w:r>
              <w:t>C (</w:t>
            </w:r>
            <w:proofErr w:type="spellStart"/>
            <w:r>
              <w:t>Circulation</w:t>
            </w:r>
            <w:proofErr w:type="spellEnd"/>
            <w:r>
              <w:t xml:space="preserve">): Пульс мануально (симметрия, частота, ритмичность, высота, наполнение, напряжение, форма пульсовой волны), АД </w:t>
            </w:r>
            <w:r w:rsidRPr="00AE3FBA">
              <w:rPr>
                <w:color w:val="000000"/>
              </w:rPr>
              <w:t xml:space="preserve">(при гипотензии — положение </w:t>
            </w:r>
            <w:proofErr w:type="spellStart"/>
            <w:r w:rsidRPr="00AE3FBA">
              <w:rPr>
                <w:color w:val="000000"/>
              </w:rPr>
              <w:t>Тренделенбурга</w:t>
            </w:r>
            <w:proofErr w:type="spellEnd"/>
            <w:r w:rsidRPr="00AE3FBA">
              <w:rPr>
                <w:color w:val="000000"/>
              </w:rPr>
              <w:t>).</w:t>
            </w:r>
          </w:p>
          <w:p w14:paraId="5D3E5D59" w14:textId="77777777" w:rsidR="00115640" w:rsidRDefault="00115640" w:rsidP="00EF37EA">
            <w:pPr>
              <w:ind w:right="33"/>
              <w:jc w:val="both"/>
            </w:pPr>
            <w:r>
              <w:t>D (</w:t>
            </w:r>
            <w:proofErr w:type="spellStart"/>
            <w:r>
              <w:t>Disability</w:t>
            </w:r>
            <w:proofErr w:type="spellEnd"/>
            <w:r>
              <w:t>): Уровень сознания (шкала AVPU).</w:t>
            </w:r>
          </w:p>
          <w:p w14:paraId="3C9007C8" w14:textId="77777777" w:rsidR="00115640" w:rsidRDefault="00115640" w:rsidP="00EF37EA">
            <w:pPr>
              <w:ind w:right="33"/>
              <w:jc w:val="both"/>
            </w:pPr>
            <w:r>
              <w:t>E (</w:t>
            </w:r>
            <w:proofErr w:type="spellStart"/>
            <w:r>
              <w:t>Exposure</w:t>
            </w:r>
            <w:proofErr w:type="spellEnd"/>
            <w:r>
              <w:t>): Полный внешний осмотр (крапивница, отек).</w:t>
            </w:r>
          </w:p>
        </w:tc>
      </w:tr>
      <w:tr w:rsidR="00115640" w14:paraId="5771C970" w14:textId="77777777" w:rsidTr="00EF37EA">
        <w:trPr>
          <w:trHeight w:val="25"/>
        </w:trPr>
        <w:tc>
          <w:tcPr>
            <w:tcW w:w="421" w:type="dxa"/>
          </w:tcPr>
          <w:p w14:paraId="714B5519" w14:textId="77777777" w:rsidR="00115640" w:rsidRDefault="00115640" w:rsidP="00EF37EA">
            <w:pPr>
              <w:ind w:right="-879"/>
            </w:pPr>
            <w:r>
              <w:t>3</w:t>
            </w:r>
          </w:p>
        </w:tc>
        <w:tc>
          <w:tcPr>
            <w:tcW w:w="2733" w:type="dxa"/>
          </w:tcPr>
          <w:p w14:paraId="720C90FF" w14:textId="77777777" w:rsidR="00115640" w:rsidRDefault="00115640" w:rsidP="00EF37EA">
            <w:pPr>
              <w:tabs>
                <w:tab w:val="left" w:pos="2445"/>
                <w:tab w:val="left" w:pos="3312"/>
              </w:tabs>
              <w:ind w:right="28"/>
            </w:pPr>
            <w:r>
              <w:t>Вызов реанимационной бригады/скорой помощи</w:t>
            </w:r>
          </w:p>
        </w:tc>
        <w:tc>
          <w:tcPr>
            <w:tcW w:w="7019" w:type="dxa"/>
          </w:tcPr>
          <w:p w14:paraId="67237CA6" w14:textId="77777777" w:rsidR="00115640" w:rsidRDefault="00115640" w:rsidP="00EF37EA">
            <w:pPr>
              <w:ind w:right="33"/>
              <w:jc w:val="both"/>
            </w:pPr>
            <w:r>
              <w:t>Код «Синий» в стационаре или вызов 103.</w:t>
            </w:r>
          </w:p>
        </w:tc>
      </w:tr>
      <w:tr w:rsidR="00115640" w14:paraId="2FA21BE1" w14:textId="77777777" w:rsidTr="00EF37EA">
        <w:trPr>
          <w:trHeight w:val="57"/>
        </w:trPr>
        <w:tc>
          <w:tcPr>
            <w:tcW w:w="421" w:type="dxa"/>
          </w:tcPr>
          <w:p w14:paraId="4349C56C" w14:textId="77777777" w:rsidR="00115640" w:rsidRDefault="00115640" w:rsidP="00EF37EA">
            <w:pPr>
              <w:ind w:right="-879"/>
            </w:pPr>
            <w:r>
              <w:t>4</w:t>
            </w:r>
          </w:p>
        </w:tc>
        <w:tc>
          <w:tcPr>
            <w:tcW w:w="2733" w:type="dxa"/>
          </w:tcPr>
          <w:p w14:paraId="0027A41E" w14:textId="77777777" w:rsidR="00115640" w:rsidRDefault="00115640" w:rsidP="00EF37EA">
            <w:pPr>
              <w:tabs>
                <w:tab w:val="left" w:pos="2445"/>
                <w:tab w:val="left" w:pos="3312"/>
              </w:tabs>
              <w:ind w:right="28"/>
            </w:pPr>
            <w:r>
              <w:t xml:space="preserve">Введение адреналина </w:t>
            </w:r>
            <w:proofErr w:type="spellStart"/>
            <w:r>
              <w:t>вм</w:t>
            </w:r>
            <w:proofErr w:type="spellEnd"/>
            <w:r>
              <w:t xml:space="preserve"> (эпинефрина)</w:t>
            </w:r>
          </w:p>
        </w:tc>
        <w:tc>
          <w:tcPr>
            <w:tcW w:w="7019" w:type="dxa"/>
          </w:tcPr>
          <w:p w14:paraId="0BCFCB3F" w14:textId="77777777" w:rsidR="00115640" w:rsidRDefault="00115640" w:rsidP="00EF37EA">
            <w:pPr>
              <w:ind w:right="33"/>
              <w:jc w:val="both"/>
            </w:pPr>
            <w:r>
              <w:t>Взрослые или дети старше 12 лет: 0.5 мг (0.1% раствор) в/м в латеральную часть бедра.</w:t>
            </w:r>
          </w:p>
          <w:p w14:paraId="3DB4FA25" w14:textId="77777777" w:rsidR="00115640" w:rsidRDefault="00115640" w:rsidP="00EF37EA">
            <w:pPr>
              <w:ind w:right="33"/>
              <w:jc w:val="both"/>
            </w:pPr>
            <w:r>
              <w:t xml:space="preserve">Дети: 0-6 лет - 150 мкг; 6 лет -12 лет - 300 мкг (в разведение с 0,9% натрия хлоридом 10 мл) </w:t>
            </w:r>
          </w:p>
          <w:p w14:paraId="62ED1F84" w14:textId="77777777" w:rsidR="00115640" w:rsidRDefault="00115640" w:rsidP="00EF37EA">
            <w:pPr>
              <w:ind w:right="33"/>
              <w:jc w:val="both"/>
            </w:pPr>
            <w:r>
              <w:t>Повтор через 5–15 мин при отсутствии эффекта.</w:t>
            </w:r>
          </w:p>
          <w:p w14:paraId="3DDF03D0" w14:textId="77777777" w:rsidR="00115640" w:rsidRDefault="00115640" w:rsidP="00EF37EA">
            <w:pPr>
              <w:ind w:right="33"/>
              <w:jc w:val="both"/>
            </w:pPr>
            <w:r>
              <w:t xml:space="preserve">При наличии венозного доступа обученный персонал могут сразу начать с введения эпинефрина в/в методом титрования при обязательном мониторировании сердечной деятельности </w:t>
            </w:r>
          </w:p>
        </w:tc>
      </w:tr>
      <w:tr w:rsidR="00115640" w14:paraId="5A0EE3CC" w14:textId="77777777" w:rsidTr="00EF37EA">
        <w:trPr>
          <w:trHeight w:val="21"/>
        </w:trPr>
        <w:tc>
          <w:tcPr>
            <w:tcW w:w="421" w:type="dxa"/>
          </w:tcPr>
          <w:p w14:paraId="79144DFE" w14:textId="77777777" w:rsidR="00115640" w:rsidRDefault="00115640" w:rsidP="00EF37EA">
            <w:pPr>
              <w:ind w:right="-879"/>
            </w:pPr>
            <w:r>
              <w:t>5</w:t>
            </w:r>
          </w:p>
        </w:tc>
        <w:tc>
          <w:tcPr>
            <w:tcW w:w="2733" w:type="dxa"/>
          </w:tcPr>
          <w:p w14:paraId="1B00FF83" w14:textId="77777777" w:rsidR="00115640" w:rsidRDefault="00115640" w:rsidP="00EF37EA">
            <w:pPr>
              <w:tabs>
                <w:tab w:val="left" w:pos="2445"/>
                <w:tab w:val="left" w:pos="3312"/>
              </w:tabs>
              <w:ind w:right="28"/>
            </w:pPr>
            <w:r>
              <w:t>Обеспечение венозного доступа</w:t>
            </w:r>
          </w:p>
        </w:tc>
        <w:tc>
          <w:tcPr>
            <w:tcW w:w="7019" w:type="dxa"/>
          </w:tcPr>
          <w:p w14:paraId="10571058" w14:textId="77777777" w:rsidR="00115640" w:rsidRDefault="00115640" w:rsidP="00EF37EA">
            <w:pPr>
              <w:ind w:right="33"/>
              <w:jc w:val="both"/>
            </w:pPr>
            <w:r>
              <w:t>Ввести периферический катетер.</w:t>
            </w:r>
          </w:p>
          <w:p w14:paraId="771ACBF1" w14:textId="77777777" w:rsidR="00115640" w:rsidRDefault="00115640" w:rsidP="00EF37EA">
            <w:pPr>
              <w:ind w:right="33"/>
              <w:jc w:val="both"/>
            </w:pPr>
          </w:p>
        </w:tc>
      </w:tr>
      <w:tr w:rsidR="00115640" w14:paraId="6F33A268" w14:textId="77777777" w:rsidTr="00EF37EA">
        <w:trPr>
          <w:trHeight w:val="54"/>
        </w:trPr>
        <w:tc>
          <w:tcPr>
            <w:tcW w:w="421" w:type="dxa"/>
          </w:tcPr>
          <w:p w14:paraId="0845DDB5" w14:textId="77777777" w:rsidR="00115640" w:rsidRDefault="00115640" w:rsidP="00EF37EA">
            <w:pPr>
              <w:ind w:right="-879"/>
            </w:pPr>
            <w:r>
              <w:t>6</w:t>
            </w:r>
          </w:p>
        </w:tc>
        <w:tc>
          <w:tcPr>
            <w:tcW w:w="2733" w:type="dxa"/>
          </w:tcPr>
          <w:p w14:paraId="7B571F00" w14:textId="77777777" w:rsidR="00115640" w:rsidRDefault="00115640" w:rsidP="00EF37EA">
            <w:pPr>
              <w:tabs>
                <w:tab w:val="left" w:pos="1642"/>
                <w:tab w:val="left" w:pos="2445"/>
              </w:tabs>
              <w:ind w:right="28"/>
              <w:rPr>
                <w:b/>
              </w:rPr>
            </w:pPr>
            <w:r>
              <w:rPr>
                <w:b/>
              </w:rPr>
              <w:t>Инфузионная терапия</w:t>
            </w:r>
          </w:p>
        </w:tc>
        <w:tc>
          <w:tcPr>
            <w:tcW w:w="7019" w:type="dxa"/>
          </w:tcPr>
          <w:p w14:paraId="584D3052" w14:textId="77777777" w:rsidR="00115640" w:rsidRDefault="00115640" w:rsidP="00EF37EA">
            <w:pPr>
              <w:ind w:right="33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0.9% </w:t>
            </w:r>
            <w:proofErr w:type="spellStart"/>
            <w:r>
              <w:rPr>
                <w:b/>
                <w:i/>
              </w:rPr>
              <w:t>NaCl</w:t>
            </w:r>
            <w:proofErr w:type="spellEnd"/>
            <w:r>
              <w:rPr>
                <w:b/>
                <w:i/>
              </w:rPr>
              <w:t>:</w:t>
            </w:r>
          </w:p>
          <w:p w14:paraId="2443943B" w14:textId="77777777" w:rsidR="00115640" w:rsidRDefault="00115640" w:rsidP="00EF37EA">
            <w:pPr>
              <w:ind w:right="33"/>
              <w:jc w:val="both"/>
            </w:pPr>
            <w:r>
              <w:t xml:space="preserve">Взрослые: 500 – 1000 мл при </w:t>
            </w:r>
            <w:proofErr w:type="spellStart"/>
            <w:r>
              <w:t>нормотензии</w:t>
            </w:r>
            <w:proofErr w:type="spellEnd"/>
            <w:r>
              <w:t>, 1000 – 2000 мл при гипотензии. При наличии в анамнезе сердечной недостаточности – не более 250 мл за 5–10 мин</w:t>
            </w:r>
          </w:p>
          <w:p w14:paraId="4F9A5820" w14:textId="77777777" w:rsidR="00115640" w:rsidRDefault="00115640" w:rsidP="00EF37EA">
            <w:pPr>
              <w:ind w:right="33"/>
              <w:jc w:val="both"/>
            </w:pPr>
            <w:r>
              <w:t>Дети: 20 мл/кг за 10–20 мин.</w:t>
            </w:r>
          </w:p>
        </w:tc>
      </w:tr>
      <w:tr w:rsidR="00115640" w14:paraId="523DBD60" w14:textId="77777777" w:rsidTr="00EF37EA">
        <w:trPr>
          <w:trHeight w:val="77"/>
        </w:trPr>
        <w:tc>
          <w:tcPr>
            <w:tcW w:w="421" w:type="dxa"/>
          </w:tcPr>
          <w:p w14:paraId="2AEA675E" w14:textId="77777777" w:rsidR="00115640" w:rsidRDefault="00115640" w:rsidP="00EF37EA">
            <w:pPr>
              <w:ind w:right="-879"/>
            </w:pPr>
            <w:r>
              <w:t>7</w:t>
            </w:r>
          </w:p>
        </w:tc>
        <w:tc>
          <w:tcPr>
            <w:tcW w:w="2733" w:type="dxa"/>
          </w:tcPr>
          <w:p w14:paraId="7D8C5716" w14:textId="77777777" w:rsidR="00115640" w:rsidRPr="001E645D" w:rsidRDefault="00115640" w:rsidP="00EF37EA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>Гормональная</w:t>
            </w:r>
          </w:p>
          <w:p w14:paraId="0BF5F44F" w14:textId="77777777" w:rsidR="00115640" w:rsidRPr="001E645D" w:rsidRDefault="00115640" w:rsidP="00EF37EA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>
              <w:t>т</w:t>
            </w:r>
            <w:r w:rsidRPr="001E645D">
              <w:t>ерапия</w:t>
            </w:r>
            <w:r>
              <w:t xml:space="preserve"> </w:t>
            </w:r>
            <w:r w:rsidRPr="001E645D">
              <w:t>(один из</w:t>
            </w:r>
          </w:p>
          <w:p w14:paraId="75AA445A" w14:textId="77777777" w:rsidR="00115640" w:rsidRPr="00264CBB" w:rsidRDefault="00115640" w:rsidP="00EF37EA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1E645D">
              <w:t>перечисленных)</w:t>
            </w:r>
          </w:p>
        </w:tc>
        <w:tc>
          <w:tcPr>
            <w:tcW w:w="7019" w:type="dxa"/>
          </w:tcPr>
          <w:p w14:paraId="200D1FBE" w14:textId="77777777" w:rsidR="00115640" w:rsidRPr="00AE3FBA" w:rsidRDefault="00115640" w:rsidP="00EF37EA">
            <w:pPr>
              <w:jc w:val="both"/>
            </w:pPr>
            <w:r w:rsidRPr="00AE3FBA">
              <w:rPr>
                <w:color w:val="000000"/>
              </w:rPr>
              <w:t>Глюкокортикоиды:</w:t>
            </w:r>
          </w:p>
          <w:p w14:paraId="328776FE" w14:textId="77777777" w:rsidR="00115640" w:rsidRDefault="00115640" w:rsidP="00EF37EA">
            <w:pPr>
              <w:spacing w:line="0" w:lineRule="atLeast"/>
              <w:ind w:right="33"/>
              <w:jc w:val="both"/>
            </w:pPr>
            <w:r w:rsidRPr="001E645D">
              <w:t>Гидрокортизон (в/м или медленно в/в):</w:t>
            </w:r>
            <w:r>
              <w:t xml:space="preserve"> </w:t>
            </w:r>
            <w:r w:rsidRPr="001E645D">
              <w:t>0 – 6 мес. – 25мг</w:t>
            </w:r>
            <w:r>
              <w:t xml:space="preserve">; </w:t>
            </w:r>
          </w:p>
          <w:p w14:paraId="11ECC63E" w14:textId="77777777" w:rsidR="00115640" w:rsidRDefault="00115640" w:rsidP="00EF37EA">
            <w:pPr>
              <w:spacing w:line="0" w:lineRule="atLeast"/>
              <w:ind w:right="33"/>
              <w:jc w:val="both"/>
            </w:pPr>
            <w:r w:rsidRPr="001E645D">
              <w:t>6мес. – 6 лет – 50мг</w:t>
            </w:r>
            <w:r>
              <w:t xml:space="preserve">; </w:t>
            </w:r>
            <w:r w:rsidRPr="001E645D">
              <w:t>6 лет – 12 лет – 100мг</w:t>
            </w:r>
            <w:r>
              <w:t xml:space="preserve">; </w:t>
            </w:r>
            <w:r w:rsidRPr="001E645D">
              <w:t>12 лет и старше – 200мг</w:t>
            </w:r>
          </w:p>
          <w:p w14:paraId="437DF571" w14:textId="77777777" w:rsidR="00115640" w:rsidRPr="00BE29AB" w:rsidRDefault="00115640" w:rsidP="00EF37EA">
            <w:pPr>
              <w:spacing w:line="0" w:lineRule="atLeast"/>
              <w:ind w:right="33"/>
              <w:jc w:val="both"/>
              <w:rPr>
                <w:color w:val="000000"/>
              </w:rPr>
            </w:pPr>
            <w:r w:rsidRPr="00AE3FBA">
              <w:rPr>
                <w:color w:val="000000"/>
              </w:rPr>
              <w:t xml:space="preserve">Преднизолон </w:t>
            </w:r>
            <w:r>
              <w:rPr>
                <w:color w:val="000000"/>
              </w:rPr>
              <w:t xml:space="preserve">30-90 мг </w:t>
            </w:r>
            <w:r w:rsidRPr="00AE3FBA">
              <w:rPr>
                <w:color w:val="000000"/>
              </w:rPr>
              <w:t>(макс. 1</w:t>
            </w:r>
            <w:r>
              <w:rPr>
                <w:color w:val="000000"/>
              </w:rPr>
              <w:t>2</w:t>
            </w:r>
            <w:r w:rsidRPr="00AE3FBA">
              <w:rPr>
                <w:color w:val="000000"/>
              </w:rPr>
              <w:t>0 мг)</w:t>
            </w:r>
          </w:p>
        </w:tc>
      </w:tr>
      <w:tr w:rsidR="00115640" w14:paraId="29154AF4" w14:textId="77777777" w:rsidTr="00EF37EA">
        <w:trPr>
          <w:trHeight w:val="21"/>
        </w:trPr>
        <w:tc>
          <w:tcPr>
            <w:tcW w:w="421" w:type="dxa"/>
          </w:tcPr>
          <w:p w14:paraId="2596F719" w14:textId="77777777" w:rsidR="00115640" w:rsidRDefault="00115640" w:rsidP="00EF37EA">
            <w:pPr>
              <w:ind w:right="-879"/>
            </w:pPr>
            <w:r>
              <w:t>8</w:t>
            </w:r>
          </w:p>
        </w:tc>
        <w:tc>
          <w:tcPr>
            <w:tcW w:w="2733" w:type="dxa"/>
          </w:tcPr>
          <w:p w14:paraId="2B925126" w14:textId="77777777" w:rsidR="00115640" w:rsidRDefault="00115640" w:rsidP="00EF37EA">
            <w:pPr>
              <w:tabs>
                <w:tab w:val="left" w:pos="1642"/>
                <w:tab w:val="left" w:pos="2445"/>
              </w:tabs>
              <w:ind w:right="28"/>
              <w:rPr>
                <w:b/>
              </w:rPr>
            </w:pPr>
            <w:r>
              <w:rPr>
                <w:b/>
              </w:rPr>
              <w:t>Дополнительная терапия</w:t>
            </w:r>
          </w:p>
        </w:tc>
        <w:tc>
          <w:tcPr>
            <w:tcW w:w="7019" w:type="dxa"/>
          </w:tcPr>
          <w:p w14:paraId="273FFB31" w14:textId="77777777" w:rsidR="00115640" w:rsidRDefault="00115640" w:rsidP="00EF37EA">
            <w:pPr>
              <w:ind w:right="33"/>
              <w:jc w:val="both"/>
            </w:pPr>
            <w:r>
              <w:t xml:space="preserve">После стабилизации АД при наличии проявлений со стороны кожи и слизистых вводим </w:t>
            </w:r>
            <w:r>
              <w:rPr>
                <w:b/>
                <w:i/>
              </w:rPr>
              <w:t>антигистаминные</w:t>
            </w:r>
            <w:r>
              <w:t>:</w:t>
            </w:r>
          </w:p>
          <w:p w14:paraId="5C945F37" w14:textId="77777777" w:rsidR="00115640" w:rsidRDefault="00115640" w:rsidP="00EF37EA">
            <w:pPr>
              <w:ind w:right="33"/>
              <w:jc w:val="both"/>
            </w:pPr>
            <w:proofErr w:type="spellStart"/>
            <w:r>
              <w:t>Дифенгидрамин</w:t>
            </w:r>
            <w:proofErr w:type="spellEnd"/>
            <w:r>
              <w:t xml:space="preserve"> 1% взрослым: 25-50 мг, детям 1 мг/кг, максимально 50 мг вводим в/в или в/м медленно!</w:t>
            </w:r>
          </w:p>
          <w:p w14:paraId="4315A7B5" w14:textId="77777777" w:rsidR="00115640" w:rsidRDefault="00115640" w:rsidP="00EF37EA">
            <w:pPr>
              <w:ind w:right="33"/>
              <w:jc w:val="both"/>
            </w:pPr>
            <w:r>
              <w:t>При сатурации ниже 90% обеспечить подачу</w:t>
            </w:r>
            <w:r>
              <w:rPr>
                <w:b/>
                <w:i/>
              </w:rPr>
              <w:t xml:space="preserve"> кислорода</w:t>
            </w:r>
            <w:r>
              <w:t xml:space="preserve"> потоком через лицевую маску для коррекции гипоксемии </w:t>
            </w:r>
          </w:p>
          <w:p w14:paraId="30CFA5B8" w14:textId="77777777" w:rsidR="00115640" w:rsidRDefault="00115640" w:rsidP="00EF37EA">
            <w:pPr>
              <w:ind w:right="33"/>
              <w:jc w:val="both"/>
            </w:pPr>
            <w:r>
              <w:t xml:space="preserve">При сохраняющемся бронхоспазме несмотря на введение эпинефрина вводим </w:t>
            </w:r>
            <w:proofErr w:type="spellStart"/>
            <w:r>
              <w:rPr>
                <w:b/>
                <w:i/>
              </w:rPr>
              <w:t>сальбутамол</w:t>
            </w:r>
            <w:proofErr w:type="spellEnd"/>
            <w:r>
              <w:t xml:space="preserve"> через небулайзер 2,5мг/2,5мл</w:t>
            </w:r>
          </w:p>
        </w:tc>
      </w:tr>
      <w:tr w:rsidR="00115640" w14:paraId="553B8B80" w14:textId="77777777" w:rsidTr="00EF37EA">
        <w:trPr>
          <w:trHeight w:val="28"/>
        </w:trPr>
        <w:tc>
          <w:tcPr>
            <w:tcW w:w="421" w:type="dxa"/>
          </w:tcPr>
          <w:p w14:paraId="30E93494" w14:textId="77777777" w:rsidR="00115640" w:rsidRDefault="00115640" w:rsidP="00EF37EA">
            <w:pPr>
              <w:ind w:right="-879"/>
            </w:pPr>
            <w:r>
              <w:t>9</w:t>
            </w:r>
          </w:p>
          <w:p w14:paraId="7D92E59B" w14:textId="77777777" w:rsidR="00115640" w:rsidRDefault="00115640" w:rsidP="00EF37EA"/>
        </w:tc>
        <w:tc>
          <w:tcPr>
            <w:tcW w:w="2733" w:type="dxa"/>
          </w:tcPr>
          <w:p w14:paraId="077F7555" w14:textId="77777777" w:rsidR="00115640" w:rsidRDefault="00115640" w:rsidP="00EF37EA">
            <w:pPr>
              <w:tabs>
                <w:tab w:val="left" w:pos="1642"/>
                <w:tab w:val="left" w:pos="2445"/>
              </w:tabs>
              <w:ind w:right="28"/>
              <w:rPr>
                <w:b/>
              </w:rPr>
            </w:pPr>
            <w:r>
              <w:rPr>
                <w:b/>
              </w:rPr>
              <w:t>Мониторинг жизненных функций</w:t>
            </w:r>
          </w:p>
        </w:tc>
        <w:tc>
          <w:tcPr>
            <w:tcW w:w="7019" w:type="dxa"/>
          </w:tcPr>
          <w:p w14:paraId="3FC4E178" w14:textId="77777777" w:rsidR="00115640" w:rsidRDefault="00115640" w:rsidP="00EF37EA">
            <w:pPr>
              <w:jc w:val="both"/>
            </w:pPr>
            <w:r>
              <w:t xml:space="preserve">Контроль каждые 5 мин: АД, пульс, </w:t>
            </w:r>
            <w:proofErr w:type="spellStart"/>
            <w:r>
              <w:t>SpO</w:t>
            </w:r>
            <w:proofErr w:type="spellEnd"/>
            <w:r>
              <w:t>₂, дыхание.</w:t>
            </w:r>
          </w:p>
          <w:p w14:paraId="7F0A9D25" w14:textId="77777777" w:rsidR="00115640" w:rsidRDefault="00115640" w:rsidP="00EF37EA">
            <w:pPr>
              <w:jc w:val="both"/>
            </w:pPr>
            <w:r>
              <w:t xml:space="preserve">При неэффективности трех болюсов эпинефрина вводим в/в эпинефрин 0.1 мкг/кг/мин, </w:t>
            </w:r>
            <w:r>
              <w:rPr>
                <w:u w:val="single"/>
              </w:rPr>
              <w:t xml:space="preserve">титрованием </w:t>
            </w:r>
            <w:r>
              <w:t xml:space="preserve">(до 1мкг/кг/мин) только </w:t>
            </w:r>
            <w:r>
              <w:lastRenderedPageBreak/>
              <w:t>при мониторировании сердечной деятельности (ЭКГ, ЧСС, АД, контроль дыхания).</w:t>
            </w:r>
          </w:p>
        </w:tc>
      </w:tr>
      <w:tr w:rsidR="00115640" w14:paraId="79B8B28A" w14:textId="77777777" w:rsidTr="00EF37EA">
        <w:trPr>
          <w:trHeight w:val="35"/>
        </w:trPr>
        <w:tc>
          <w:tcPr>
            <w:tcW w:w="421" w:type="dxa"/>
          </w:tcPr>
          <w:p w14:paraId="68639F77" w14:textId="77777777" w:rsidR="00115640" w:rsidRDefault="00115640" w:rsidP="00EF37EA">
            <w:pPr>
              <w:ind w:right="-879"/>
            </w:pPr>
            <w:r>
              <w:lastRenderedPageBreak/>
              <w:t>10</w:t>
            </w:r>
          </w:p>
        </w:tc>
        <w:tc>
          <w:tcPr>
            <w:tcW w:w="2733" w:type="dxa"/>
          </w:tcPr>
          <w:p w14:paraId="50E97CA2" w14:textId="77777777" w:rsidR="00115640" w:rsidRDefault="00115640" w:rsidP="00EF37EA">
            <w:pPr>
              <w:tabs>
                <w:tab w:val="left" w:pos="1642"/>
                <w:tab w:val="left" w:pos="2445"/>
              </w:tabs>
              <w:ind w:right="28"/>
              <w:rPr>
                <w:b/>
              </w:rPr>
            </w:pPr>
            <w:r>
              <w:rPr>
                <w:b/>
              </w:rPr>
              <w:t>Госпитализация</w:t>
            </w:r>
          </w:p>
        </w:tc>
        <w:tc>
          <w:tcPr>
            <w:tcW w:w="7019" w:type="dxa"/>
          </w:tcPr>
          <w:p w14:paraId="285F3BFA" w14:textId="77777777" w:rsidR="00115640" w:rsidRDefault="00115640" w:rsidP="00EF37EA">
            <w:pPr>
              <w:jc w:val="both"/>
            </w:pPr>
            <w:r>
              <w:t>Показания: Все случаи анафилаксии.</w:t>
            </w:r>
          </w:p>
          <w:p w14:paraId="688CB997" w14:textId="77777777" w:rsidR="00115640" w:rsidRDefault="00115640" w:rsidP="00EF37EA">
            <w:pPr>
              <w:jc w:val="both"/>
            </w:pPr>
            <w:r>
              <w:t xml:space="preserve">Срок наблюдения: 12–24 часа </w:t>
            </w:r>
          </w:p>
        </w:tc>
      </w:tr>
    </w:tbl>
    <w:p w14:paraId="018E2261" w14:textId="77777777" w:rsidR="00E5375B" w:rsidRDefault="00E5375B" w:rsidP="00A453E5">
      <w:pPr>
        <w:rPr>
          <w:b/>
        </w:rPr>
      </w:pPr>
    </w:p>
    <w:p w14:paraId="44C98568" w14:textId="77777777" w:rsidR="00E5375B" w:rsidRDefault="00221A9B" w:rsidP="00A453E5">
      <w:r>
        <w:t>Вопросы для подготовки:</w:t>
      </w:r>
    </w:p>
    <w:p w14:paraId="020FBA08" w14:textId="77777777" w:rsidR="00E5375B" w:rsidRDefault="00221A9B" w:rsidP="00A453E5">
      <w:pPr>
        <w:numPr>
          <w:ilvl w:val="0"/>
          <w:numId w:val="6"/>
        </w:numPr>
        <w:tabs>
          <w:tab w:val="left" w:pos="142"/>
          <w:tab w:val="left" w:pos="426"/>
        </w:tabs>
        <w:ind w:left="0" w:firstLine="0"/>
      </w:pPr>
      <w:r>
        <w:t xml:space="preserve">Что такое Анафилактический шок? </w:t>
      </w:r>
    </w:p>
    <w:p w14:paraId="30607C48" w14:textId="77777777" w:rsidR="00E5375B" w:rsidRDefault="00221A9B" w:rsidP="00A453E5">
      <w:pPr>
        <w:numPr>
          <w:ilvl w:val="0"/>
          <w:numId w:val="6"/>
        </w:numPr>
        <w:tabs>
          <w:tab w:val="left" w:pos="142"/>
          <w:tab w:val="left" w:pos="426"/>
        </w:tabs>
        <w:ind w:left="0" w:firstLine="0"/>
      </w:pPr>
      <w:r>
        <w:t xml:space="preserve">Классификация по характеру течения АШ, клиническим проявлениям, по степени тяжести. </w:t>
      </w:r>
    </w:p>
    <w:p w14:paraId="008C928E" w14:textId="77777777" w:rsidR="00E5375B" w:rsidRDefault="00221A9B" w:rsidP="00A453E5">
      <w:pPr>
        <w:numPr>
          <w:ilvl w:val="0"/>
          <w:numId w:val="6"/>
        </w:numPr>
        <w:tabs>
          <w:tab w:val="left" w:pos="142"/>
          <w:tab w:val="left" w:pos="426"/>
        </w:tabs>
        <w:ind w:left="0" w:firstLine="0"/>
      </w:pPr>
      <w:r>
        <w:t xml:space="preserve">Этиология и патогенез </w:t>
      </w:r>
    </w:p>
    <w:p w14:paraId="2BDF0523" w14:textId="77777777" w:rsidR="00E5375B" w:rsidRDefault="00221A9B" w:rsidP="00A453E5">
      <w:pPr>
        <w:numPr>
          <w:ilvl w:val="0"/>
          <w:numId w:val="6"/>
        </w:numPr>
        <w:tabs>
          <w:tab w:val="left" w:pos="142"/>
          <w:tab w:val="left" w:pos="426"/>
        </w:tabs>
        <w:ind w:left="0" w:firstLine="0"/>
      </w:pPr>
      <w:r>
        <w:t xml:space="preserve">Диагностика. Дифференциальная диагностика </w:t>
      </w:r>
    </w:p>
    <w:p w14:paraId="25D4E85C" w14:textId="77777777" w:rsidR="00E5375B" w:rsidRDefault="00221A9B" w:rsidP="00A453E5">
      <w:pPr>
        <w:numPr>
          <w:ilvl w:val="0"/>
          <w:numId w:val="6"/>
        </w:numPr>
        <w:tabs>
          <w:tab w:val="left" w:pos="142"/>
          <w:tab w:val="left" w:pos="426"/>
        </w:tabs>
        <w:ind w:left="0" w:firstLine="0"/>
      </w:pPr>
      <w:r>
        <w:t>Лечение.</w:t>
      </w:r>
    </w:p>
    <w:p w14:paraId="73E2CBD3" w14:textId="77777777" w:rsidR="00E5375B" w:rsidRDefault="00221A9B" w:rsidP="00A453E5">
      <w:pPr>
        <w:numPr>
          <w:ilvl w:val="0"/>
          <w:numId w:val="6"/>
        </w:numPr>
        <w:tabs>
          <w:tab w:val="left" w:pos="142"/>
          <w:tab w:val="left" w:pos="426"/>
        </w:tabs>
        <w:ind w:left="0" w:firstLine="0"/>
      </w:pPr>
      <w:r>
        <w:t>Что такое титрование препарата?</w:t>
      </w:r>
    </w:p>
    <w:p w14:paraId="5EB26143" w14:textId="77777777" w:rsidR="00E5375B" w:rsidRDefault="00E5375B" w:rsidP="00A453E5"/>
    <w:p w14:paraId="7C4A3675" w14:textId="77777777" w:rsidR="00E5375B" w:rsidRDefault="00E5375B" w:rsidP="00A453E5"/>
    <w:p w14:paraId="46180EA7" w14:textId="53E7EBB7" w:rsidR="00E5375B" w:rsidRDefault="00E5375B" w:rsidP="00A453E5">
      <w:pPr>
        <w:rPr>
          <w:noProof/>
        </w:rPr>
      </w:pPr>
    </w:p>
    <w:p w14:paraId="034AC0F9" w14:textId="13603807" w:rsidR="00F151AE" w:rsidRDefault="00F151AE" w:rsidP="00A453E5">
      <w:pPr>
        <w:rPr>
          <w:noProof/>
        </w:rPr>
      </w:pPr>
    </w:p>
    <w:p w14:paraId="6D522C19" w14:textId="0472A6D5" w:rsidR="00F151AE" w:rsidRDefault="00F151AE" w:rsidP="00A453E5">
      <w:pPr>
        <w:rPr>
          <w:noProof/>
        </w:rPr>
      </w:pPr>
    </w:p>
    <w:p w14:paraId="3D76F4A6" w14:textId="179451C9" w:rsidR="00F151AE" w:rsidRDefault="00F151AE" w:rsidP="00A453E5">
      <w:pPr>
        <w:rPr>
          <w:noProof/>
        </w:rPr>
      </w:pPr>
    </w:p>
    <w:p w14:paraId="30123874" w14:textId="460C88F7" w:rsidR="00F151AE" w:rsidRDefault="00F151AE" w:rsidP="00A453E5">
      <w:pPr>
        <w:rPr>
          <w:noProof/>
        </w:rPr>
      </w:pPr>
    </w:p>
    <w:p w14:paraId="69EF48DD" w14:textId="1BCB3E06" w:rsidR="00F151AE" w:rsidRDefault="00F151AE" w:rsidP="00A453E5">
      <w:pPr>
        <w:rPr>
          <w:noProof/>
        </w:rPr>
      </w:pPr>
    </w:p>
    <w:p w14:paraId="5F1729B2" w14:textId="16A77060" w:rsidR="00F151AE" w:rsidRDefault="00F151AE" w:rsidP="00A453E5">
      <w:pPr>
        <w:rPr>
          <w:noProof/>
        </w:rPr>
      </w:pPr>
    </w:p>
    <w:p w14:paraId="308EDD21" w14:textId="73C6150D" w:rsidR="00F151AE" w:rsidRDefault="00F151AE" w:rsidP="00A453E5">
      <w:pPr>
        <w:rPr>
          <w:noProof/>
        </w:rPr>
      </w:pPr>
    </w:p>
    <w:p w14:paraId="11227A4D" w14:textId="72BAA912" w:rsidR="00F151AE" w:rsidRDefault="00F151AE" w:rsidP="00A453E5">
      <w:pPr>
        <w:rPr>
          <w:noProof/>
        </w:rPr>
      </w:pPr>
    </w:p>
    <w:p w14:paraId="7DF51437" w14:textId="3E158BC6" w:rsidR="00F151AE" w:rsidRDefault="00F151AE" w:rsidP="00A453E5">
      <w:pPr>
        <w:rPr>
          <w:noProof/>
        </w:rPr>
      </w:pPr>
    </w:p>
    <w:p w14:paraId="5BA00644" w14:textId="251D48A7" w:rsidR="00F151AE" w:rsidRDefault="00F151AE" w:rsidP="00A453E5">
      <w:pPr>
        <w:rPr>
          <w:noProof/>
        </w:rPr>
      </w:pPr>
    </w:p>
    <w:p w14:paraId="6F79025C" w14:textId="105C7F82" w:rsidR="00F151AE" w:rsidRDefault="00F151AE" w:rsidP="00A453E5">
      <w:pPr>
        <w:rPr>
          <w:noProof/>
        </w:rPr>
      </w:pPr>
    </w:p>
    <w:p w14:paraId="479449E9" w14:textId="1EE44584" w:rsidR="00F151AE" w:rsidRDefault="00F151AE" w:rsidP="00A453E5">
      <w:pPr>
        <w:rPr>
          <w:noProof/>
        </w:rPr>
      </w:pPr>
    </w:p>
    <w:p w14:paraId="364B9293" w14:textId="0C42DF08" w:rsidR="00F151AE" w:rsidRDefault="00F151AE" w:rsidP="00A453E5">
      <w:pPr>
        <w:rPr>
          <w:noProof/>
        </w:rPr>
      </w:pPr>
    </w:p>
    <w:p w14:paraId="7C72F046" w14:textId="2515A1C9" w:rsidR="00F151AE" w:rsidRDefault="00F151AE" w:rsidP="00A453E5">
      <w:pPr>
        <w:rPr>
          <w:noProof/>
        </w:rPr>
      </w:pPr>
    </w:p>
    <w:p w14:paraId="49EC550A" w14:textId="0A87433E" w:rsidR="00115640" w:rsidRDefault="00115640" w:rsidP="00A453E5">
      <w:pPr>
        <w:rPr>
          <w:noProof/>
        </w:rPr>
      </w:pPr>
    </w:p>
    <w:p w14:paraId="022B5680" w14:textId="53A23016" w:rsidR="00115640" w:rsidRDefault="00115640" w:rsidP="00A453E5">
      <w:pPr>
        <w:rPr>
          <w:noProof/>
        </w:rPr>
      </w:pPr>
    </w:p>
    <w:p w14:paraId="101B8FB1" w14:textId="0C643FA9" w:rsidR="00115640" w:rsidRDefault="00115640" w:rsidP="00A453E5">
      <w:pPr>
        <w:rPr>
          <w:noProof/>
        </w:rPr>
      </w:pPr>
    </w:p>
    <w:p w14:paraId="7CEAFF5F" w14:textId="5E53DC91" w:rsidR="00115640" w:rsidRDefault="00115640" w:rsidP="00A453E5">
      <w:pPr>
        <w:rPr>
          <w:noProof/>
        </w:rPr>
      </w:pPr>
    </w:p>
    <w:p w14:paraId="524186A8" w14:textId="36D7CF05" w:rsidR="00115640" w:rsidRDefault="00115640" w:rsidP="00A453E5">
      <w:pPr>
        <w:rPr>
          <w:noProof/>
        </w:rPr>
      </w:pPr>
    </w:p>
    <w:p w14:paraId="102DD38D" w14:textId="49198ECE" w:rsidR="00115640" w:rsidRDefault="00115640" w:rsidP="00A453E5">
      <w:pPr>
        <w:rPr>
          <w:noProof/>
        </w:rPr>
      </w:pPr>
    </w:p>
    <w:p w14:paraId="748852B8" w14:textId="2CDA4D8A" w:rsidR="00115640" w:rsidRDefault="00115640" w:rsidP="00A453E5">
      <w:pPr>
        <w:rPr>
          <w:noProof/>
        </w:rPr>
      </w:pPr>
    </w:p>
    <w:p w14:paraId="4DDD61CD" w14:textId="40FDD7EE" w:rsidR="00115640" w:rsidRDefault="00115640" w:rsidP="00A453E5">
      <w:pPr>
        <w:rPr>
          <w:noProof/>
        </w:rPr>
      </w:pPr>
    </w:p>
    <w:p w14:paraId="655192DC" w14:textId="057BF41E" w:rsidR="00115640" w:rsidRDefault="00115640" w:rsidP="00A453E5">
      <w:pPr>
        <w:rPr>
          <w:noProof/>
        </w:rPr>
      </w:pPr>
    </w:p>
    <w:p w14:paraId="7F50CF7A" w14:textId="5A347E72" w:rsidR="00115640" w:rsidRDefault="00115640" w:rsidP="00A453E5">
      <w:pPr>
        <w:rPr>
          <w:noProof/>
        </w:rPr>
      </w:pPr>
    </w:p>
    <w:p w14:paraId="2AE3B076" w14:textId="7BF5588F" w:rsidR="00115640" w:rsidRDefault="00115640" w:rsidP="00A453E5">
      <w:pPr>
        <w:rPr>
          <w:noProof/>
        </w:rPr>
      </w:pPr>
    </w:p>
    <w:p w14:paraId="0E5360E9" w14:textId="2FB980F8" w:rsidR="00115640" w:rsidRDefault="00115640" w:rsidP="00A453E5">
      <w:pPr>
        <w:rPr>
          <w:noProof/>
        </w:rPr>
      </w:pPr>
    </w:p>
    <w:p w14:paraId="7A957804" w14:textId="532A2E0F" w:rsidR="00115640" w:rsidRDefault="00115640" w:rsidP="00A453E5">
      <w:pPr>
        <w:rPr>
          <w:noProof/>
        </w:rPr>
      </w:pPr>
    </w:p>
    <w:p w14:paraId="1435D1FD" w14:textId="6FC596E5" w:rsidR="00115640" w:rsidRDefault="00115640" w:rsidP="00A453E5">
      <w:pPr>
        <w:rPr>
          <w:noProof/>
        </w:rPr>
      </w:pPr>
    </w:p>
    <w:p w14:paraId="0A3AD40B" w14:textId="0DE55F6C" w:rsidR="00115640" w:rsidRDefault="00115640" w:rsidP="00A453E5">
      <w:pPr>
        <w:rPr>
          <w:noProof/>
        </w:rPr>
      </w:pPr>
    </w:p>
    <w:p w14:paraId="338A7944" w14:textId="625B0709" w:rsidR="00115640" w:rsidRDefault="00115640" w:rsidP="00A453E5">
      <w:pPr>
        <w:rPr>
          <w:noProof/>
        </w:rPr>
      </w:pPr>
    </w:p>
    <w:p w14:paraId="5929BC3C" w14:textId="77777777" w:rsidR="00115640" w:rsidRDefault="00115640" w:rsidP="00A453E5">
      <w:pPr>
        <w:rPr>
          <w:noProof/>
        </w:rPr>
      </w:pPr>
    </w:p>
    <w:p w14:paraId="37237F5D" w14:textId="77777777" w:rsidR="00A453E5" w:rsidRDefault="00A453E5" w:rsidP="00A453E5">
      <w:pPr>
        <w:rPr>
          <w:noProof/>
        </w:rPr>
      </w:pPr>
    </w:p>
    <w:p w14:paraId="0DC732EA" w14:textId="2DF8ECE9" w:rsidR="00F151AE" w:rsidRDefault="00F151AE" w:rsidP="00A453E5">
      <w:pPr>
        <w:rPr>
          <w:noProof/>
        </w:rPr>
      </w:pPr>
    </w:p>
    <w:sectPr w:rsidR="00F151AE">
      <w:headerReference w:type="default" r:id="rId7"/>
      <w:footerReference w:type="default" r:id="rId8"/>
      <w:pgSz w:w="11906" w:h="16838"/>
      <w:pgMar w:top="567" w:right="567" w:bottom="567" w:left="1134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5105D" w14:textId="77777777" w:rsidR="001620F9" w:rsidRDefault="001620F9">
      <w:r>
        <w:separator/>
      </w:r>
    </w:p>
  </w:endnote>
  <w:endnote w:type="continuationSeparator" w:id="0">
    <w:p w14:paraId="2E3BE558" w14:textId="77777777" w:rsidR="001620F9" w:rsidRDefault="0016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5BAB" w14:textId="77777777" w:rsidR="00E5375B" w:rsidRDefault="00E53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1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1F55" w14:textId="77777777" w:rsidR="001620F9" w:rsidRDefault="001620F9">
      <w:r>
        <w:separator/>
      </w:r>
    </w:p>
  </w:footnote>
  <w:footnote w:type="continuationSeparator" w:id="0">
    <w:p w14:paraId="4CB329E2" w14:textId="77777777" w:rsidR="001620F9" w:rsidRDefault="0016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5ABC" w14:textId="77777777" w:rsidR="00E5375B" w:rsidRDefault="00E537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4"/>
      <w:tblW w:w="1017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78"/>
      <w:gridCol w:w="3735"/>
      <w:gridCol w:w="3537"/>
      <w:gridCol w:w="1724"/>
    </w:tblGrid>
    <w:tr w:rsidR="00E5375B" w14:paraId="63245CB9" w14:textId="77777777" w:rsidTr="00A453E5">
      <w:trPr>
        <w:trHeight w:val="553"/>
        <w:jc w:val="center"/>
      </w:trPr>
      <w:tc>
        <w:tcPr>
          <w:tcW w:w="1178" w:type="dxa"/>
          <w:vMerge w:val="restart"/>
        </w:tcPr>
        <w:p w14:paraId="5B4995AB" w14:textId="77777777" w:rsidR="00E5375B" w:rsidRDefault="00E53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6"/>
              <w:szCs w:val="6"/>
            </w:rPr>
          </w:pPr>
        </w:p>
        <w:p w14:paraId="30FFA3E1" w14:textId="77777777" w:rsidR="00E5375B" w:rsidRDefault="00221A9B">
          <w:r>
            <w:rPr>
              <w:rFonts w:ascii="Tahoma" w:eastAsia="Tahoma" w:hAnsi="Tahoma" w:cs="Tahoma"/>
              <w:noProof/>
              <w:sz w:val="16"/>
              <w:szCs w:val="16"/>
            </w:rPr>
            <w:drawing>
              <wp:inline distT="0" distB="0" distL="0" distR="0" wp14:anchorId="5D23F3D4" wp14:editId="474DEBB3">
                <wp:extent cx="600075" cy="723900"/>
                <wp:effectExtent l="0" t="0" r="0" b="0"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6" w:type="dxa"/>
          <w:gridSpan w:val="3"/>
        </w:tcPr>
        <w:p w14:paraId="5A3EB1A6" w14:textId="77777777" w:rsidR="00E5375B" w:rsidRDefault="00E5375B">
          <w:pPr>
            <w:ind w:left="51" w:hanging="5"/>
            <w:jc w:val="center"/>
            <w:rPr>
              <w:rFonts w:ascii="Tahoma" w:eastAsia="Tahoma" w:hAnsi="Tahoma" w:cs="Tahoma"/>
              <w:b/>
              <w:sz w:val="8"/>
              <w:szCs w:val="8"/>
            </w:rPr>
          </w:pPr>
        </w:p>
        <w:p w14:paraId="32320F03" w14:textId="77777777" w:rsidR="00E5375B" w:rsidRDefault="00221A9B">
          <w:pPr>
            <w:jc w:val="center"/>
            <w:rPr>
              <w:rFonts w:ascii="Tahoma" w:eastAsia="Tahoma" w:hAnsi="Tahoma" w:cs="Tahoma"/>
              <w:b/>
              <w:sz w:val="17"/>
              <w:szCs w:val="17"/>
            </w:rPr>
          </w:pPr>
          <w:r>
            <w:rPr>
              <w:rFonts w:ascii="Tahoma" w:eastAsia="Tahoma" w:hAnsi="Tahoma" w:cs="Tahoma"/>
              <w:b/>
              <w:sz w:val="17"/>
              <w:szCs w:val="17"/>
            </w:rPr>
            <w:t xml:space="preserve">«С.Ж.АСФЕНДИЯРОВ АТЫНДАҒЫ ҚАЗАҚ ҰЛТТЫҚ МЕДИЦИНА УНИВЕРСИТЕТІ» КЕАҚ </w:t>
          </w:r>
        </w:p>
        <w:p w14:paraId="4576BA89" w14:textId="77777777" w:rsidR="00E5375B" w:rsidRDefault="00E5375B">
          <w:pPr>
            <w:jc w:val="center"/>
            <w:rPr>
              <w:rFonts w:ascii="Tahoma" w:eastAsia="Tahoma" w:hAnsi="Tahoma" w:cs="Tahoma"/>
              <w:b/>
              <w:sz w:val="4"/>
              <w:szCs w:val="4"/>
            </w:rPr>
          </w:pPr>
        </w:p>
        <w:p w14:paraId="76DEE871" w14:textId="77777777" w:rsidR="00E5375B" w:rsidRDefault="00221A9B">
          <w:pPr>
            <w:tabs>
              <w:tab w:val="center" w:pos="4677"/>
              <w:tab w:val="right" w:pos="9355"/>
            </w:tabs>
            <w:jc w:val="center"/>
            <w:rPr>
              <w:rFonts w:ascii="Tahoma" w:eastAsia="Tahoma" w:hAnsi="Tahoma" w:cs="Tahoma"/>
              <w:b/>
              <w:sz w:val="17"/>
              <w:szCs w:val="17"/>
            </w:rPr>
          </w:pPr>
          <w:r>
            <w:rPr>
              <w:rFonts w:ascii="Tahoma" w:eastAsia="Tahoma" w:hAnsi="Tahoma" w:cs="Tahoma"/>
              <w:b/>
              <w:sz w:val="17"/>
              <w:szCs w:val="17"/>
            </w:rPr>
            <w:t>НАО «КАЗАХСКИЙ НАЦИОНАЛЬНЫЙ МЕДИЦИНСКИЙ УНИВЕРСИТЕТ ИМЕНИ С.Д. АСФЕНДИЯРОВА»</w:t>
          </w:r>
        </w:p>
        <w:p w14:paraId="60882C9D" w14:textId="77777777" w:rsidR="00E5375B" w:rsidRDefault="00E53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Tahoma" w:eastAsia="Tahoma" w:hAnsi="Tahoma" w:cs="Tahoma"/>
              <w:color w:val="000000"/>
              <w:sz w:val="8"/>
              <w:szCs w:val="8"/>
            </w:rPr>
          </w:pPr>
        </w:p>
      </w:tc>
    </w:tr>
    <w:tr w:rsidR="00E5375B" w14:paraId="49ADEA91" w14:textId="77777777" w:rsidTr="00A453E5">
      <w:trPr>
        <w:trHeight w:val="236"/>
        <w:jc w:val="center"/>
      </w:trPr>
      <w:tc>
        <w:tcPr>
          <w:tcW w:w="1178" w:type="dxa"/>
          <w:vMerge/>
        </w:tcPr>
        <w:p w14:paraId="05060F4F" w14:textId="77777777" w:rsidR="00E5375B" w:rsidRDefault="00E537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8"/>
              <w:szCs w:val="8"/>
            </w:rPr>
          </w:pPr>
        </w:p>
      </w:tc>
      <w:tc>
        <w:tcPr>
          <w:tcW w:w="3735" w:type="dxa"/>
          <w:vMerge w:val="restart"/>
          <w:vAlign w:val="center"/>
        </w:tcPr>
        <w:p w14:paraId="548604F7" w14:textId="77777777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Tahoma" w:eastAsia="Tahoma" w:hAnsi="Tahoma" w:cs="Tahoma"/>
              <w:color w:val="000000"/>
            </w:rPr>
          </w:pPr>
          <w:r>
            <w:rPr>
              <w:color w:val="000000"/>
              <w:sz w:val="17"/>
              <w:szCs w:val="17"/>
            </w:rPr>
            <w:t>Симуляционный Центр</w:t>
          </w:r>
        </w:p>
      </w:tc>
      <w:tc>
        <w:tcPr>
          <w:tcW w:w="3537" w:type="dxa"/>
          <w:vMerge w:val="restart"/>
          <w:vAlign w:val="center"/>
        </w:tcPr>
        <w:p w14:paraId="34796B92" w14:textId="2D8C7844" w:rsidR="00E5375B" w:rsidRDefault="00B81451">
          <w:pPr>
            <w:jc w:val="center"/>
            <w:rPr>
              <w:sz w:val="17"/>
              <w:szCs w:val="17"/>
            </w:rPr>
          </w:pPr>
          <w:r>
            <w:rPr>
              <w:sz w:val="17"/>
              <w:szCs w:val="17"/>
            </w:rPr>
            <w:t>Алгоритм</w:t>
          </w:r>
        </w:p>
      </w:tc>
      <w:tc>
        <w:tcPr>
          <w:tcW w:w="1724" w:type="dxa"/>
        </w:tcPr>
        <w:p w14:paraId="312092D6" w14:textId="77777777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7030A0"/>
            </w:rPr>
          </w:pPr>
          <w:r>
            <w:rPr>
              <w:color w:val="7030A0"/>
              <w:sz w:val="17"/>
              <w:szCs w:val="17"/>
            </w:rPr>
            <w:t>Редакция: 1</w:t>
          </w:r>
        </w:p>
      </w:tc>
    </w:tr>
    <w:tr w:rsidR="00A453E5" w14:paraId="01523093" w14:textId="77777777" w:rsidTr="00A453E5">
      <w:trPr>
        <w:trHeight w:val="183"/>
        <w:jc w:val="center"/>
      </w:trPr>
      <w:tc>
        <w:tcPr>
          <w:tcW w:w="1178" w:type="dxa"/>
          <w:vMerge/>
        </w:tcPr>
        <w:p w14:paraId="300C99D0" w14:textId="77777777" w:rsidR="00A453E5" w:rsidRDefault="00A453E5" w:rsidP="00A453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3735" w:type="dxa"/>
          <w:vMerge/>
          <w:vAlign w:val="center"/>
        </w:tcPr>
        <w:p w14:paraId="6E7591EF" w14:textId="77777777" w:rsidR="00A453E5" w:rsidRDefault="00A453E5" w:rsidP="00A453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3537" w:type="dxa"/>
          <w:vMerge/>
          <w:vAlign w:val="center"/>
        </w:tcPr>
        <w:p w14:paraId="2F6C61B4" w14:textId="77777777" w:rsidR="00A453E5" w:rsidRDefault="00A453E5" w:rsidP="00A453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1724" w:type="dxa"/>
        </w:tcPr>
        <w:p w14:paraId="6BED152C" w14:textId="4E222355" w:rsidR="00A453E5" w:rsidRDefault="00A453E5" w:rsidP="00A453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7030A0"/>
              <w:sz w:val="17"/>
              <w:szCs w:val="17"/>
            </w:rPr>
          </w:pPr>
          <w:r w:rsidRPr="004C3FDD">
            <w:rPr>
              <w:color w:val="7030A0"/>
              <w:sz w:val="17"/>
              <w:szCs w:val="17"/>
            </w:rPr>
            <w:t xml:space="preserve">Страница </w: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begin"/>
          </w:r>
          <w:r w:rsidRPr="004C3FDD"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noProof/>
              <w:color w:val="7030A0"/>
              <w:sz w:val="17"/>
              <w:szCs w:val="17"/>
              <w:lang w:val="en-US"/>
            </w:rPr>
            <w:t>2</w: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end"/>
          </w:r>
          <w:r w:rsidRPr="004C3FDD">
            <w:rPr>
              <w:color w:val="7030A0"/>
              <w:sz w:val="17"/>
              <w:szCs w:val="17"/>
            </w:rPr>
            <w:t xml:space="preserve"> из</w:t>
          </w:r>
          <w:r>
            <w:rPr>
              <w:color w:val="7030A0"/>
              <w:sz w:val="17"/>
              <w:szCs w:val="17"/>
            </w:rPr>
            <w:t xml:space="preserve"> </w:t>
          </w:r>
          <w:fldSimple w:instr="NUMPAGES  \* Arabic  \* MERGEFORMAT">
            <w:r w:rsidRPr="009D17E4">
              <w:rPr>
                <w:noProof/>
                <w:color w:val="7030A0"/>
                <w:sz w:val="17"/>
                <w:szCs w:val="17"/>
                <w:lang w:val="en-US"/>
              </w:rPr>
              <w:t>14</w:t>
            </w:r>
          </w:fldSimple>
        </w:p>
      </w:tc>
    </w:tr>
  </w:tbl>
  <w:p w14:paraId="491E26FB" w14:textId="77777777" w:rsidR="00E5375B" w:rsidRDefault="00E53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"/>
        <w:szCs w:val="2"/>
      </w:rPr>
    </w:pPr>
  </w:p>
  <w:p w14:paraId="24CA5223" w14:textId="77777777" w:rsidR="00E5375B" w:rsidRDefault="00E537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6B7"/>
    <w:multiLevelType w:val="multilevel"/>
    <w:tmpl w:val="3920F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5D555E"/>
    <w:multiLevelType w:val="multilevel"/>
    <w:tmpl w:val="9D007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745C2A"/>
    <w:multiLevelType w:val="hybridMultilevel"/>
    <w:tmpl w:val="6F2A3556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372D"/>
    <w:multiLevelType w:val="multilevel"/>
    <w:tmpl w:val="E9006C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9C7434"/>
    <w:multiLevelType w:val="hybridMultilevel"/>
    <w:tmpl w:val="A69420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0BB2"/>
    <w:multiLevelType w:val="multilevel"/>
    <w:tmpl w:val="BD1C7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FD7E2E"/>
    <w:multiLevelType w:val="multilevel"/>
    <w:tmpl w:val="11D46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18681A"/>
    <w:multiLevelType w:val="multilevel"/>
    <w:tmpl w:val="DE8E863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C786689"/>
    <w:multiLevelType w:val="multilevel"/>
    <w:tmpl w:val="B666FD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F64E20"/>
    <w:multiLevelType w:val="multilevel"/>
    <w:tmpl w:val="EB0E0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54CE3"/>
    <w:multiLevelType w:val="hybridMultilevel"/>
    <w:tmpl w:val="AB820E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A3C16"/>
    <w:multiLevelType w:val="hybridMultilevel"/>
    <w:tmpl w:val="AFC834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A0EDB"/>
    <w:multiLevelType w:val="multilevel"/>
    <w:tmpl w:val="16F63FC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9706E"/>
    <w:multiLevelType w:val="hybridMultilevel"/>
    <w:tmpl w:val="1D0A71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073B1"/>
    <w:multiLevelType w:val="hybridMultilevel"/>
    <w:tmpl w:val="23A4A8D6"/>
    <w:lvl w:ilvl="0" w:tplc="2000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6" w15:restartNumberingAfterBreak="0">
    <w:nsid w:val="35E84BC5"/>
    <w:multiLevelType w:val="hybridMultilevel"/>
    <w:tmpl w:val="EDE886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A04BC"/>
    <w:multiLevelType w:val="multilevel"/>
    <w:tmpl w:val="BD563B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E5B5E82"/>
    <w:multiLevelType w:val="hybridMultilevel"/>
    <w:tmpl w:val="C1E642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6601C"/>
    <w:multiLevelType w:val="multilevel"/>
    <w:tmpl w:val="E0129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0B86778"/>
    <w:multiLevelType w:val="hybridMultilevel"/>
    <w:tmpl w:val="8A4C0342"/>
    <w:lvl w:ilvl="0" w:tplc="9BFCB3E4">
      <w:numFmt w:val="bullet"/>
      <w:lvlText w:val="-"/>
      <w:lvlJc w:val="left"/>
      <w:pPr>
        <w:ind w:left="5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67178BF"/>
    <w:multiLevelType w:val="multilevel"/>
    <w:tmpl w:val="265E5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7CE341C"/>
    <w:multiLevelType w:val="hybridMultilevel"/>
    <w:tmpl w:val="BF68ACC6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31650"/>
    <w:multiLevelType w:val="multilevel"/>
    <w:tmpl w:val="41525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5194640"/>
    <w:multiLevelType w:val="hybridMultilevel"/>
    <w:tmpl w:val="8C74C6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1697"/>
    <w:multiLevelType w:val="multilevel"/>
    <w:tmpl w:val="94F85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97F6A8D"/>
    <w:multiLevelType w:val="multilevel"/>
    <w:tmpl w:val="D76E2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9EC4DF6"/>
    <w:multiLevelType w:val="multilevel"/>
    <w:tmpl w:val="1C06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22016F"/>
    <w:multiLevelType w:val="multilevel"/>
    <w:tmpl w:val="47C6E2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30973CA"/>
    <w:multiLevelType w:val="multilevel"/>
    <w:tmpl w:val="A2A05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8163500"/>
    <w:multiLevelType w:val="hybridMultilevel"/>
    <w:tmpl w:val="164E19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28"/>
  </w:num>
  <w:num w:numId="5">
    <w:abstractNumId w:val="26"/>
  </w:num>
  <w:num w:numId="6">
    <w:abstractNumId w:val="17"/>
  </w:num>
  <w:num w:numId="7">
    <w:abstractNumId w:val="25"/>
  </w:num>
  <w:num w:numId="8">
    <w:abstractNumId w:val="13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  <w:num w:numId="13">
    <w:abstractNumId w:val="29"/>
  </w:num>
  <w:num w:numId="14">
    <w:abstractNumId w:val="8"/>
  </w:num>
  <w:num w:numId="15">
    <w:abstractNumId w:val="5"/>
  </w:num>
  <w:num w:numId="16">
    <w:abstractNumId w:val="21"/>
  </w:num>
  <w:num w:numId="17">
    <w:abstractNumId w:val="23"/>
  </w:num>
  <w:num w:numId="18">
    <w:abstractNumId w:val="10"/>
  </w:num>
  <w:num w:numId="19">
    <w:abstractNumId w:val="2"/>
  </w:num>
  <w:num w:numId="20">
    <w:abstractNumId w:val="14"/>
  </w:num>
  <w:num w:numId="21">
    <w:abstractNumId w:val="16"/>
  </w:num>
  <w:num w:numId="22">
    <w:abstractNumId w:val="12"/>
  </w:num>
  <w:num w:numId="23">
    <w:abstractNumId w:val="30"/>
  </w:num>
  <w:num w:numId="24">
    <w:abstractNumId w:val="4"/>
  </w:num>
  <w:num w:numId="25">
    <w:abstractNumId w:val="15"/>
  </w:num>
  <w:num w:numId="26">
    <w:abstractNumId w:val="18"/>
  </w:num>
  <w:num w:numId="27">
    <w:abstractNumId w:val="11"/>
  </w:num>
  <w:num w:numId="28">
    <w:abstractNumId w:val="24"/>
  </w:num>
  <w:num w:numId="29">
    <w:abstractNumId w:val="2"/>
  </w:num>
  <w:num w:numId="30">
    <w:abstractNumId w:val="22"/>
  </w:num>
  <w:num w:numId="31">
    <w:abstractNumId w:val="2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5B"/>
    <w:rsid w:val="000024DB"/>
    <w:rsid w:val="001128B5"/>
    <w:rsid w:val="00115640"/>
    <w:rsid w:val="0013436B"/>
    <w:rsid w:val="001620F9"/>
    <w:rsid w:val="00175F6A"/>
    <w:rsid w:val="00206E1C"/>
    <w:rsid w:val="00221A9B"/>
    <w:rsid w:val="00264CBB"/>
    <w:rsid w:val="003C0350"/>
    <w:rsid w:val="004D19A7"/>
    <w:rsid w:val="004D3FD1"/>
    <w:rsid w:val="00535290"/>
    <w:rsid w:val="006A7DEE"/>
    <w:rsid w:val="006B74A5"/>
    <w:rsid w:val="00755B87"/>
    <w:rsid w:val="0077773B"/>
    <w:rsid w:val="00787FCB"/>
    <w:rsid w:val="007A3078"/>
    <w:rsid w:val="008847E4"/>
    <w:rsid w:val="008C5578"/>
    <w:rsid w:val="00973AB6"/>
    <w:rsid w:val="00A453E5"/>
    <w:rsid w:val="00AC1F0D"/>
    <w:rsid w:val="00B54F1F"/>
    <w:rsid w:val="00B81451"/>
    <w:rsid w:val="00BE534F"/>
    <w:rsid w:val="00BF5DC6"/>
    <w:rsid w:val="00C268DC"/>
    <w:rsid w:val="00C513BE"/>
    <w:rsid w:val="00CA7973"/>
    <w:rsid w:val="00D150C0"/>
    <w:rsid w:val="00E5375B"/>
    <w:rsid w:val="00EE47FB"/>
    <w:rsid w:val="00F151AE"/>
    <w:rsid w:val="00FA6AE1"/>
    <w:rsid w:val="00FD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F84C"/>
  <w15:docId w15:val="{62398D61-09B7-4F29-A83F-574DC92A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40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40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uiPriority w:val="11"/>
    <w:qFormat/>
    <w:pPr>
      <w:jc w:val="center"/>
    </w:pPr>
    <w:rPr>
      <w:b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f8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9"/>
    <w:uiPriority w:val="34"/>
    <w:qFormat/>
    <w:locked/>
    <w:rsid w:val="004D3FD1"/>
  </w:style>
  <w:style w:type="paragraph" w:styleId="af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8"/>
    <w:uiPriority w:val="34"/>
    <w:qFormat/>
    <w:rsid w:val="004D3FD1"/>
    <w:pPr>
      <w:ind w:left="720"/>
      <w:contextualSpacing/>
    </w:pPr>
  </w:style>
  <w:style w:type="paragraph" w:styleId="afa">
    <w:name w:val="No Spacing"/>
    <w:uiPriority w:val="1"/>
    <w:qFormat/>
    <w:rsid w:val="00973AB6"/>
  </w:style>
  <w:style w:type="table" w:styleId="afb">
    <w:name w:val="Table Grid"/>
    <w:basedOn w:val="a1"/>
    <w:uiPriority w:val="39"/>
    <w:rsid w:val="0097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A453E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A453E5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A453E5"/>
  </w:style>
  <w:style w:type="paragraph" w:styleId="afe">
    <w:name w:val="footer"/>
    <w:basedOn w:val="a"/>
    <w:link w:val="aff"/>
    <w:uiPriority w:val="99"/>
    <w:unhideWhenUsed/>
    <w:rsid w:val="00A453E5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A45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Kaznmu-CS</dc:creator>
  <cp:lastModifiedBy>User</cp:lastModifiedBy>
  <cp:revision>19</cp:revision>
  <cp:lastPrinted>2025-08-27T11:42:00Z</cp:lastPrinted>
  <dcterms:created xsi:type="dcterms:W3CDTF">2025-08-27T10:18:00Z</dcterms:created>
  <dcterms:modified xsi:type="dcterms:W3CDTF">2025-12-01T12:04:00Z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