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Қауымдастырылған</w:t>
      </w:r>
    </w:p>
    <w:p w:rsidR="00000000" w:rsidDel="00000000" w:rsidP="00000000" w:rsidRDefault="00000000" w:rsidRPr="00000000" w14:paraId="00000002">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профессор (доцент),</w:t>
      </w:r>
    </w:p>
    <w:p w:rsidR="00000000" w:rsidDel="00000000" w:rsidP="00000000" w:rsidRDefault="00000000" w:rsidRPr="00000000" w14:paraId="00000003">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профессор ғылыми атақтарын</w:t>
      </w:r>
    </w:p>
    <w:p w:rsidR="00000000" w:rsidDel="00000000" w:rsidP="00000000" w:rsidRDefault="00000000" w:rsidRPr="00000000" w14:paraId="00000004">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беру ережесіне</w:t>
      </w:r>
    </w:p>
    <w:p w:rsidR="00000000" w:rsidDel="00000000" w:rsidP="00000000" w:rsidRDefault="00000000" w:rsidRPr="00000000" w14:paraId="00000005">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1-қосымша</w:t>
      </w:r>
    </w:p>
    <w:p w:rsidR="00000000" w:rsidDel="00000000" w:rsidP="00000000" w:rsidRDefault="00000000" w:rsidRPr="00000000" w14:paraId="0000000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30300 – «Денсаулық туралы ғылым»</w:t>
      </w:r>
    </w:p>
    <w:p w:rsidR="00000000" w:rsidDel="00000000" w:rsidP="00000000" w:rsidRDefault="00000000" w:rsidRPr="00000000" w14:paraId="00000009">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ғылыми бағыты бойынша профессор </w:t>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ғылыми атағын алуға үміткер туралы анықтама</w:t>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1"/>
        <w:tblW w:w="97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4"/>
        <w:gridCol w:w="4023"/>
        <w:gridCol w:w="5172"/>
        <w:tblGridChange w:id="0">
          <w:tblGrid>
            <w:gridCol w:w="574"/>
            <w:gridCol w:w="4023"/>
            <w:gridCol w:w="5172"/>
          </w:tblGrid>
        </w:tblGridChange>
      </w:tblGrid>
      <w:tr>
        <w:trPr>
          <w:cantSplit w:val="0"/>
          <w:tblHeader w:val="0"/>
        </w:trPr>
        <w:tc>
          <w:tcPr>
            <w:tcMar>
              <w:top w:w="45.0" w:type="dxa"/>
              <w:left w:w="75.0" w:type="dxa"/>
              <w:bottom w:w="45.0" w:type="dxa"/>
              <w:right w:w="75.0" w:type="dxa"/>
            </w:tcMa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Mar>
              <w:top w:w="45.0" w:type="dxa"/>
              <w:left w:w="75.0" w:type="dxa"/>
              <w:bottom w:w="45.0" w:type="dxa"/>
              <w:right w:w="75.0" w:type="dxa"/>
            </w:tcMar>
            <w:vAlign w:val="center"/>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Тегі, аты, әкесінің аты (болған жағдайда)</w:t>
            </w:r>
          </w:p>
        </w:tc>
        <w:tc>
          <w:tcPr>
            <w:tcMar>
              <w:top w:w="45.0" w:type="dxa"/>
              <w:left w:w="75.0" w:type="dxa"/>
              <w:bottom w:w="45.0" w:type="dxa"/>
              <w:right w:w="75.0" w:type="dxa"/>
            </w:tcMar>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Абикулова Акмарал Канатовна</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Mar>
              <w:top w:w="45.0" w:type="dxa"/>
              <w:left w:w="75.0" w:type="dxa"/>
              <w:bottom w:w="45.0" w:type="dxa"/>
              <w:right w:w="75.0" w:type="dxa"/>
            </w:tcMar>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Mar>
              <w:top w:w="45.0" w:type="dxa"/>
              <w:left w:w="75.0" w:type="dxa"/>
              <w:bottom w:w="45.0" w:type="dxa"/>
              <w:right w:w="75.0" w:type="dxa"/>
            </w:tcMar>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Қазақстан Республикасы Білім және ғылым министрлігінің Білім және ғылым саласындағы бақылау комитетінің 2013 жылғы 13 желтоқсандағы шешімімен (№1564 бұйрығы), ҒД №0000280 философия докторы (PhD)</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Mar>
              <w:top w:w="45.0" w:type="dxa"/>
              <w:left w:w="75.0" w:type="dxa"/>
              <w:bottom w:w="45.0" w:type="dxa"/>
              <w:right w:w="75.0" w:type="dxa"/>
            </w:tcMar>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Ғылыми атақ, берілген уақыты</w:t>
            </w:r>
          </w:p>
        </w:tc>
        <w:tc>
          <w:tcPr>
            <w:tcMar>
              <w:top w:w="45.0" w:type="dxa"/>
              <w:left w:w="75.0" w:type="dxa"/>
              <w:bottom w:w="45.0" w:type="dxa"/>
              <w:right w:w="75.0" w:type="dxa"/>
            </w:tcMar>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Қауымдастырылған профессор (доцент), Қазақстан Республикасы Білім және ғылым министрлігінің Білім және ғылым саласында сапаны қамтамасыз ету комитетінің 2019 жылғы 19 сәуірдегі шешімімен (№416 бұйрық), ДЦ №0000592</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Mar>
              <w:top w:w="45.0" w:type="dxa"/>
              <w:left w:w="75.0" w:type="dxa"/>
              <w:bottom w:w="45.0" w:type="dxa"/>
              <w:right w:w="75.0" w:type="dxa"/>
            </w:tcMar>
            <w:vAlign w:val="center"/>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Құрметті атақ, берілген уақыты</w:t>
            </w:r>
          </w:p>
        </w:tc>
        <w:tc>
          <w:tcPr>
            <w:tcMar>
              <w:top w:w="45.0" w:type="dxa"/>
              <w:left w:w="75.0" w:type="dxa"/>
              <w:bottom w:w="45.0" w:type="dxa"/>
              <w:right w:w="75.0" w:type="dxa"/>
            </w:tcMar>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жоқ</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Mar>
              <w:top w:w="45.0" w:type="dxa"/>
              <w:left w:w="75.0" w:type="dxa"/>
              <w:bottom w:w="45.0" w:type="dxa"/>
              <w:right w:w="75.0" w:type="dxa"/>
            </w:tcMar>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Лауазымы (лауазымға тағайындалу туралы бұйрық мерзімі және нөмірі )</w:t>
            </w:r>
          </w:p>
        </w:tc>
        <w:tc>
          <w:tcPr>
            <w:tcMar>
              <w:top w:w="45.0" w:type="dxa"/>
              <w:left w:w="75.0" w:type="dxa"/>
              <w:bottom w:w="45.0" w:type="dxa"/>
              <w:right w:w="75.0" w:type="dxa"/>
            </w:tcMa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2020 жылғы 01 қыркүйектегі №1332 л/с бұйрығы Денсаулық сақтау саясаты және менеджменті кафедрасының доценті.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2021 жылғы 01 қыркүйектегі №1477 л/с бұйрығы Денсаулық сақтау саясаты және менеджменті кафедрасының профессор міндетін атқарушы</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Mar>
              <w:top w:w="45.0" w:type="dxa"/>
              <w:left w:w="75.0" w:type="dxa"/>
              <w:bottom w:w="45.0" w:type="dxa"/>
              <w:right w:w="75.0" w:type="dxa"/>
            </w:tcMar>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Ғылыми, ғылыми-педагогикалық жұмыс өтілі</w:t>
            </w:r>
          </w:p>
        </w:tc>
        <w:tc>
          <w:tcPr>
            <w:tcMar>
              <w:top w:w="45.0" w:type="dxa"/>
              <w:left w:w="75.0" w:type="dxa"/>
              <w:bottom w:w="45.0" w:type="dxa"/>
              <w:right w:w="75.0" w:type="dxa"/>
            </w:tcMar>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Жалпы еңбек өтілі – 17 жыл 6 ай (қауымдастырылған профессор ғылыми атағын алғаннан кейін – 7 жыл), оның ішінде доцент лауазымында – 2 жыл 5 ай, профессор міндетін атқарушы ретінде – 4 жыл 7 ай</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Mar>
              <w:top w:w="45.0" w:type="dxa"/>
              <w:left w:w="75.0" w:type="dxa"/>
              <w:bottom w:w="45.0" w:type="dxa"/>
              <w:right w:w="75.0" w:type="dxa"/>
            </w:tcMar>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Диссертация қорғағаннан / қауымдастырылған профессор (доцент) ғылыми атағын алғаннан кейінгі ғылыми мақалалар, шығармашылық еңбектер саны</w:t>
            </w:r>
          </w:p>
        </w:tc>
        <w:tc>
          <w:tcPr>
            <w:tcMar>
              <w:top w:w="45.0" w:type="dxa"/>
              <w:left w:w="75.0" w:type="dxa"/>
              <w:bottom w:w="45.0" w:type="dxa"/>
              <w:right w:w="75.0" w:type="dxa"/>
            </w:tcMar>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Барлығы – 34, уәкілетті орган ұсынған басылымдарда – 27, Clarivate Analytics компаниясының дерекқорларына кіретін ғылыми журналдарда (Web of Science Core Collection, Scopus немесе JSTOR) – 7, олардың ішінде 4 ғылыми мақалада үміткер халықаралық рецензияланатын ғылыми журналдарда бірінші автор немесе хат-хабар авторы болып табылады, шығармашылық еңбектер – 1.</w:t>
            </w:r>
            <w:r w:rsidDel="00000000" w:rsidR="00000000" w:rsidRPr="00000000">
              <w:rPr>
                <w:rtl w:val="0"/>
              </w:rPr>
              <w:t xml:space="preserve"> </w:t>
            </w:r>
            <w:r w:rsidDel="00000000" w:rsidR="00000000" w:rsidRPr="00000000">
              <w:rPr>
                <w:rtl w:val="0"/>
              </w:rPr>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Mar>
              <w:top w:w="45.0" w:type="dxa"/>
              <w:left w:w="75.0" w:type="dxa"/>
              <w:bottom w:w="45.0" w:type="dxa"/>
              <w:right w:w="75.0" w:type="dxa"/>
            </w:tcMar>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Соңғы 5 жылда басылған монографиялар, оқулықтар, жеке жазылған оқу (оқу-әдістемелік) құралдар саны</w:t>
            </w:r>
          </w:p>
        </w:tc>
        <w:tc>
          <w:tcPr>
            <w:tcMar>
              <w:top w:w="45.0" w:type="dxa"/>
              <w:left w:w="75.0" w:type="dxa"/>
              <w:bottom w:w="45.0" w:type="dxa"/>
              <w:right w:w="75.0" w:type="dxa"/>
            </w:tcMar>
          </w:tcPr>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Методология написания научных статей: учебник / А.К. Абикулова – Алматы: КазНМУ, 2025. – 152 с. ISBN 978-601-246-812-0</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Mar>
              <w:top w:w="45.0" w:type="dxa"/>
              <w:left w:w="75.0" w:type="dxa"/>
              <w:bottom w:w="45.0" w:type="dxa"/>
              <w:right w:w="75.0" w:type="dxa"/>
            </w:tcMar>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Mar>
              <w:top w:w="45.0" w:type="dxa"/>
              <w:left w:w="75.0" w:type="dxa"/>
              <w:bottom w:w="45.0" w:type="dxa"/>
              <w:right w:w="75.0" w:type="dxa"/>
            </w:tcMar>
          </w:tcPr>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жоқ</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Mar>
              <w:top w:w="45.0" w:type="dxa"/>
              <w:left w:w="75.0" w:type="dxa"/>
              <w:bottom w:w="45.0" w:type="dxa"/>
              <w:right w:w="75.0" w:type="dxa"/>
            </w:tcMar>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Mar>
              <w:top w:w="45.0" w:type="dxa"/>
              <w:left w:w="75.0" w:type="dxa"/>
              <w:bottom w:w="45.0" w:type="dxa"/>
              <w:right w:w="75.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жоқ</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Mar>
              <w:top w:w="45.0" w:type="dxa"/>
              <w:left w:w="75.0" w:type="dxa"/>
              <w:bottom w:w="45.0" w:type="dxa"/>
              <w:right w:w="75.0" w:type="dxa"/>
            </w:tcMar>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Mar>
              <w:top w:w="45.0" w:type="dxa"/>
              <w:left w:w="75.0" w:type="dxa"/>
              <w:bottom w:w="45.0" w:type="dxa"/>
              <w:right w:w="75.0" w:type="dxa"/>
            </w:tcMar>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жоқ</w:t>
            </w:r>
          </w:p>
        </w:tc>
      </w:tr>
      <w:tr>
        <w:trPr>
          <w:cantSplit w:val="0"/>
          <w:tblHeader w:val="0"/>
        </w:trPr>
        <w:tc>
          <w:tcPr>
            <w:tcMar>
              <w:top w:w="45.0" w:type="dxa"/>
              <w:left w:w="75.0" w:type="dxa"/>
              <w:bottom w:w="45.0" w:type="dxa"/>
              <w:right w:w="75.0" w:type="dxa"/>
            </w:tcMa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Mar>
              <w:top w:w="45.0" w:type="dxa"/>
              <w:left w:w="75.0" w:type="dxa"/>
              <w:bottom w:w="45.0" w:type="dxa"/>
              <w:right w:w="75.0" w:type="dxa"/>
            </w:tcMar>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Қосымша ақпарат</w:t>
            </w:r>
          </w:p>
        </w:tc>
        <w:tc>
          <w:tcPr>
            <w:tcMar>
              <w:top w:w="45.0" w:type="dxa"/>
              <w:left w:w="75.0" w:type="dxa"/>
              <w:bottom w:w="45.0" w:type="dxa"/>
              <w:right w:w="75.0" w:type="dxa"/>
            </w:tcMar>
          </w:tcPr>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6D110200, 8D10101, 8D139 – «Қоғамдық денсаулық сақтау», 8D10104 – «Мейіргер ғылымы» білім беру бағдарламалары бойынша Диссертациялық кеңестің ғылыми хатшысы (24.01.2024 ж. №40 бұйрық)</w:t>
            </w:r>
          </w:p>
        </w:tc>
      </w:tr>
    </w:tbl>
    <w:p w:rsidR="00000000" w:rsidDel="00000000" w:rsidP="00000000" w:rsidRDefault="00000000" w:rsidRPr="00000000" w14:paraId="0000003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 Досмұхамедов атындағы </w:t>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Қоғамдық денсаулық сақтау </w:t>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мектебінің деканы, медицина </w:t>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ғылымдарының кандидаты, </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қауымдастырылған профессор</w:t>
        <w:tab/>
      </w:r>
      <w:r w:rsidDel="00000000" w:rsidR="00000000" w:rsidRPr="00000000">
        <w:rPr>
          <w:rFonts w:ascii="Times New Roman" w:cs="Times New Roman" w:eastAsia="Times New Roman" w:hAnsi="Times New Roman"/>
          <w:color w:val="000000"/>
          <w:rtl w:val="0"/>
        </w:rPr>
        <w:t xml:space="preserve">__________________________    </w:t>
      </w:r>
      <w:r w:rsidDel="00000000" w:rsidR="00000000" w:rsidRPr="00000000">
        <w:rPr>
          <w:rFonts w:ascii="Times New Roman" w:cs="Times New Roman" w:eastAsia="Times New Roman" w:hAnsi="Times New Roman"/>
          <w:b w:val="1"/>
          <w:bCs w:val="1"/>
          <w:color w:val="000000"/>
          <w:sz w:val="28"/>
          <w:szCs w:val="28"/>
          <w:rtl w:val="0"/>
        </w:rPr>
        <w:t xml:space="preserve">Коженкова</w:t>
      </w:r>
      <w:r w:rsidDel="00000000" w:rsidR="00000000" w:rsidRPr="00000000">
        <w:rPr>
          <w:rFonts w:ascii="Times New Roman" w:cs="Times New Roman" w:eastAsia="Times New Roman" w:hAnsi="Times New Roman"/>
          <w:b w:val="1"/>
          <w:bCs w:val="1"/>
          <w:sz w:val="28"/>
          <w:szCs w:val="28"/>
          <w:rtl w:val="0"/>
        </w:rPr>
        <w:t xml:space="preserve"> Ж.А.</w:t>
      </w:r>
    </w:p>
    <w:p w:rsidR="00000000" w:rsidDel="00000000" w:rsidP="00000000" w:rsidRDefault="00000000" w:rsidRPr="00000000" w14:paraId="0000003B">
      <w:pPr>
        <w:spacing w:after="0" w:line="240" w:lineRule="auto"/>
        <w:ind w:left="1416" w:firstLine="707.999999999999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(қолы)</w:t>
      </w:r>
    </w:p>
    <w:p w:rsidR="00000000" w:rsidDel="00000000" w:rsidP="00000000" w:rsidRDefault="00000000" w:rsidRPr="00000000" w14:paraId="0000003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E">
      <w:pPr>
        <w:spacing w:after="0" w:line="240" w:lineRule="auto"/>
        <w:ind w:firstLine="142"/>
        <w:rPr>
          <w:rFonts w:ascii="Times New Roman" w:cs="Times New Roman" w:eastAsia="Times New Roman" w:hAnsi="Times New Roman"/>
          <w:b w:val="1"/>
          <w:bCs w:val="1"/>
          <w:sz w:val="28"/>
          <w:szCs w:val="28"/>
        </w:rPr>
      </w:pPr>
      <w:r w:rsidDel="00000000" w:rsidR="00000000" w:rsidRPr="00000000">
        <w:rPr>
          <w:rtl w:val="0"/>
        </w:rPr>
      </w:r>
    </w:p>
    <w:tbl>
      <w:tblPr>
        <w:tblStyle w:val="Table2"/>
        <w:tblW w:w="94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3045"/>
        <w:gridCol w:w="2204"/>
        <w:tblGridChange w:id="0">
          <w:tblGrid>
            <w:gridCol w:w="4248"/>
            <w:gridCol w:w="3045"/>
            <w:gridCol w:w="2204"/>
          </w:tblGrid>
        </w:tblGridChange>
      </w:tblGrid>
      <w:tr>
        <w:trPr>
          <w:cantSplit w:val="0"/>
          <w:tblHeader w:val="0"/>
        </w:trPr>
        <w:tc>
          <w:tcPr/>
          <w:p w:rsidR="00000000" w:rsidDel="00000000" w:rsidP="00000000" w:rsidRDefault="00000000" w:rsidRPr="00000000" w14:paraId="0000003F">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Кадрларды есепке алу бөлімінің бастығы</w:t>
            </w:r>
          </w:p>
        </w:tc>
        <w:tc>
          <w:tcPr>
            <w:vAlign w:val="center"/>
          </w:tcPr>
          <w:p w:rsidR="00000000" w:rsidDel="00000000" w:rsidP="00000000" w:rsidRDefault="00000000" w:rsidRPr="00000000" w14:paraId="0000004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w:t>
            </w:r>
          </w:p>
          <w:p w:rsidR="00000000" w:rsidDel="00000000" w:rsidP="00000000" w:rsidRDefault="00000000" w:rsidRPr="00000000" w14:paraId="0000004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rtl w:val="0"/>
              </w:rPr>
              <w:t xml:space="preserve">қолы</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2">
            <w:pPr>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3">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Сапакова М.М.</w:t>
            </w:r>
            <w:r w:rsidDel="00000000" w:rsidR="00000000" w:rsidRPr="00000000">
              <w:rPr>
                <w:rtl w:val="0"/>
              </w:rPr>
            </w:r>
          </w:p>
        </w:tc>
      </w:tr>
    </w:tbl>
    <w:p w:rsidR="00000000" w:rsidDel="00000000" w:rsidP="00000000" w:rsidRDefault="00000000" w:rsidRPr="00000000" w14:paraId="00000044">
      <w:pPr>
        <w:ind w:left="1416"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5">
      <w:pPr>
        <w:ind w:left="1416"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МО</w:t>
      </w:r>
    </w:p>
    <w:p w:rsidR="00000000" w:rsidDel="00000000" w:rsidP="00000000" w:rsidRDefault="00000000" w:rsidRPr="00000000" w14:paraId="00000046">
      <w:pPr>
        <w:spacing w:after="0" w:line="240" w:lineRule="auto"/>
        <w:ind w:firstLine="142"/>
        <w:rPr>
          <w:rFonts w:ascii="Times New Roman" w:cs="Times New Roman" w:eastAsia="Times New Roman" w:hAnsi="Times New Roman"/>
          <w:b w:val="1"/>
          <w:bCs w:val="1"/>
          <w:sz w:val="28"/>
          <w:szCs w:val="28"/>
        </w:rPr>
      </w:pPr>
      <w:r w:rsidDel="00000000" w:rsidR="00000000" w:rsidRPr="00000000">
        <w:rPr>
          <w:rtl w:val="0"/>
        </w:rPr>
      </w:r>
    </w:p>
    <w:sectPr>
      <w:headerReference r:id="rId7" w:type="default"/>
      <w:pgSz w:h="16838" w:w="11906" w:orient="portrait"/>
      <w:pgMar w:bottom="567" w:top="1134" w:left="1276" w:right="851" w:header="567" w:footer="8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bl>
    <w:tblPr>
      <w:tblStyle w:val="Table3"/>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590"/>
      <w:gridCol w:w="3402"/>
      <w:gridCol w:w="1655"/>
      <w:tblGridChange w:id="0">
        <w:tblGrid>
          <w:gridCol w:w="1134"/>
          <w:gridCol w:w="3590"/>
          <w:gridCol w:w="3402"/>
          <w:gridCol w:w="1655"/>
        </w:tblGrid>
      </w:tblGridChange>
    </w:tblGrid>
    <w:tr>
      <w:trPr>
        <w:cantSplit w:val="0"/>
        <w:tblHeader w:val="0"/>
      </w:trPr>
      <w:tc>
        <w:tcPr>
          <w:vMerge w:val="restart"/>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Tahoma" w:cs="Tahoma" w:eastAsia="Tahoma" w:hAnsi="Tahoma"/>
              <w:sz w:val="16"/>
              <w:szCs w:val="16"/>
            </w:rPr>
            <w:drawing>
              <wp:inline distB="0" distT="0" distL="0" distR="0">
                <wp:extent cx="600075" cy="723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0075" cy="723900"/>
                        </a:xfrm>
                        <a:prstGeom prst="rect"/>
                        <a:ln/>
                      </pic:spPr>
                    </pic:pic>
                  </a:graphicData>
                </a:graphic>
              </wp:inline>
            </w:drawing>
          </w:r>
          <w:r w:rsidDel="00000000" w:rsidR="00000000" w:rsidRPr="00000000">
            <w:rPr>
              <w:rtl w:val="0"/>
            </w:rPr>
          </w:r>
        </w:p>
      </w:tc>
      <w:tc>
        <w:tcPr>
          <w:gridSpan w:val="3"/>
        </w:tcPr>
        <w:p w:rsidR="00000000" w:rsidDel="00000000" w:rsidP="00000000" w:rsidRDefault="00000000" w:rsidRPr="00000000" w14:paraId="0000004A">
          <w:pPr>
            <w:spacing w:after="0" w:lineRule="auto"/>
            <w:ind w:left="51" w:hanging="5"/>
            <w:jc w:val="center"/>
            <w:rPr>
              <w:rFonts w:ascii="Tahoma" w:cs="Tahoma" w:eastAsia="Tahoma" w:hAnsi="Tahoma"/>
              <w:b w:val="1"/>
              <w:bCs w:val="1"/>
              <w:sz w:val="8"/>
              <w:szCs w:val="8"/>
            </w:rPr>
          </w:pPr>
          <w:r w:rsidDel="00000000" w:rsidR="00000000" w:rsidRPr="00000000">
            <w:rPr>
              <w:rtl w:val="0"/>
            </w:rPr>
          </w:r>
        </w:p>
        <w:p w:rsidR="00000000" w:rsidDel="00000000" w:rsidP="00000000" w:rsidRDefault="00000000" w:rsidRPr="00000000" w14:paraId="0000004B">
          <w:pPr>
            <w:jc w:val="center"/>
            <w:rPr>
              <w:rFonts w:ascii="Tahoma" w:cs="Tahoma" w:eastAsia="Tahoma" w:hAnsi="Tahoma"/>
              <w:b w:val="1"/>
              <w:bCs w:val="1"/>
              <w:sz w:val="17"/>
              <w:szCs w:val="17"/>
            </w:rPr>
          </w:pPr>
          <w:r w:rsidDel="00000000" w:rsidR="00000000" w:rsidRPr="00000000">
            <w:rPr>
              <w:rFonts w:ascii="Tahoma" w:cs="Tahoma" w:eastAsia="Tahoma" w:hAnsi="Tahoma"/>
              <w:b w:val="1"/>
              <w:bCs w:val="1"/>
              <w:sz w:val="17"/>
              <w:szCs w:val="17"/>
              <w:rtl w:val="0"/>
            </w:rPr>
            <w:t xml:space="preserve">«С.Ж. АСФЕНДИЯРОВ АТЫНДАҒЫ ҚАЗАҚ ҰЛТТЫҚ МЕДИЦИНА УНИВЕРСИТЕТІ» КЕАҚ</w:t>
          </w:r>
        </w:p>
        <w:p w:rsidR="00000000" w:rsidDel="00000000" w:rsidP="00000000" w:rsidRDefault="00000000" w:rsidRPr="00000000" w14:paraId="0000004C">
          <w:pPr>
            <w:spacing w:after="0" w:lineRule="auto"/>
            <w:ind w:left="51" w:hanging="5"/>
            <w:jc w:val="center"/>
            <w:rPr>
              <w:rFonts w:ascii="Tahoma" w:cs="Tahoma" w:eastAsia="Tahoma" w:hAnsi="Tahoma"/>
              <w:b w:val="1"/>
              <w:bCs w:val="1"/>
              <w:sz w:val="4"/>
              <w:szCs w:val="4"/>
            </w:rPr>
          </w:pPr>
          <w:r w:rsidDel="00000000" w:rsidR="00000000" w:rsidRPr="00000000">
            <w:rPr>
              <w:rtl w:val="0"/>
            </w:rPr>
          </w:r>
        </w:p>
        <w:p w:rsidR="00000000" w:rsidDel="00000000" w:rsidP="00000000" w:rsidRDefault="00000000" w:rsidRPr="00000000" w14:paraId="0000004D">
          <w:pPr>
            <w:tabs>
              <w:tab w:val="center" w:leader="none" w:pos="4677"/>
              <w:tab w:val="right" w:leader="none" w:pos="9355"/>
            </w:tabs>
            <w:ind w:left="-120" w:firstLine="0"/>
            <w:jc w:val="center"/>
            <w:rPr>
              <w:rFonts w:ascii="Tahoma" w:cs="Tahoma" w:eastAsia="Tahoma" w:hAnsi="Tahoma"/>
              <w:b w:val="1"/>
              <w:bCs w:val="1"/>
              <w:sz w:val="17"/>
              <w:szCs w:val="17"/>
            </w:rPr>
          </w:pPr>
          <w:r w:rsidDel="00000000" w:rsidR="00000000" w:rsidRPr="00000000">
            <w:rPr>
              <w:rFonts w:ascii="Tahoma" w:cs="Tahoma" w:eastAsia="Tahoma" w:hAnsi="Tahoma"/>
              <w:b w:val="1"/>
              <w:bCs w:val="1"/>
              <w:sz w:val="17"/>
              <w:szCs w:val="17"/>
              <w:rtl w:val="0"/>
            </w:rPr>
            <w:t xml:space="preserve">НАО «КАЗАХСКИЙ НАЦИОНАЛЬНЫЙ МЕДИЦИНСКИЙ УНИВЕРСИТЕТ ИМЕНИ С.Д.АСФЕНДИЯРОВА»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bCs w:val="0"/>
              <w:i w:val="0"/>
              <w:iCs w:val="0"/>
              <w:smallCaps w:val="0"/>
              <w:strike w:val="0"/>
              <w:color w:val="000000"/>
              <w:sz w:val="8"/>
              <w:szCs w:val="8"/>
              <w:u w:val="none"/>
              <w:shd w:fill="auto" w:val="clear"/>
              <w:vertAlign w:val="baseline"/>
            </w:rPr>
          </w:pPr>
          <w:r w:rsidDel="00000000" w:rsidR="00000000" w:rsidRPr="00000000">
            <w:rPr>
              <w:rtl w:val="0"/>
            </w:rPr>
          </w:r>
        </w:p>
      </w:tc>
    </w:tr>
    <w:tr>
      <w:trPr>
        <w:cantSplit w:val="0"/>
        <w:trHeight w:val="264"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8"/>
              <w:szCs w:val="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Қоғамдық денсаулық сақтау мектебі</w:t>
          </w:r>
          <w:r w:rsidDel="00000000" w:rsidR="00000000" w:rsidRPr="00000000">
            <w:rPr>
              <w:rtl w:val="0"/>
            </w:rPr>
          </w:r>
        </w:p>
      </w:tc>
      <w:tc>
        <w:tcPr>
          <w:vMerge w:val="restart"/>
        </w:tcPr>
        <w:p w:rsidR="00000000" w:rsidDel="00000000" w:rsidP="00000000" w:rsidRDefault="00000000" w:rsidRPr="00000000" w14:paraId="00000054">
          <w:pPr>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Анықтама</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030a0"/>
              <w:sz w:val="17"/>
              <w:szCs w:val="17"/>
              <w:u w:val="none"/>
              <w:shd w:fill="auto" w:val="clear"/>
              <w:vertAlign w:val="baseline"/>
              <w:rtl w:val="0"/>
            </w:rPr>
            <w:t xml:space="preserve">Редакция: 1</w:t>
          </w:r>
          <w:r w:rsidDel="00000000" w:rsidR="00000000" w:rsidRPr="00000000">
            <w:rPr>
              <w:rtl w:val="0"/>
            </w:rPr>
          </w:r>
        </w:p>
      </w:tc>
    </w:tr>
    <w:tr>
      <w:trPr>
        <w:cantSplit w:val="0"/>
        <w:trHeight w:val="205" w:hRule="atLeast"/>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030a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030a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7030a0"/>
              <w:sz w:val="17"/>
              <w:szCs w:val="1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7030a0"/>
              <w:sz w:val="17"/>
              <w:szCs w:val="17"/>
              <w:u w:val="none"/>
              <w:shd w:fill="auto" w:val="clear"/>
              <w:vertAlign w:val="baseline"/>
              <w:rtl w:val="0"/>
            </w:rPr>
            <w:t xml:space="preserve"> беттің 1-ші беті</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tetQQhyOzD9fWQerYRi5OKCcA==">CgMxLjA4AHIhMVNGTnI0ZlF0ZFVMd2hTWHlLUTZmUjFfVkplVG1paG9Q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fdacf540-9d3a-4d9b-a7b1-5fdc05447230</vt:lpwstr>
  </property>
</Properties>
</file>