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7949" w14:textId="77777777" w:rsidR="007B6E49" w:rsidRDefault="007B6E49" w:rsidP="007B6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1F5">
        <w:rPr>
          <w:rFonts w:ascii="Times New Roman" w:eastAsia="Times New Roman" w:hAnsi="Times New Roman" w:cs="Times New Roman"/>
          <w:color w:val="000000"/>
          <w:lang w:eastAsia="ru-RU"/>
        </w:rPr>
        <w:t>Приложение 2</w:t>
      </w:r>
      <w:r w:rsidRPr="007701F5">
        <w:rPr>
          <w:rFonts w:ascii="Times New Roman" w:eastAsia="Times New Roman" w:hAnsi="Times New Roman" w:cs="Times New Roman"/>
          <w:color w:val="000000"/>
          <w:lang w:eastAsia="ru-RU"/>
        </w:rPr>
        <w:br/>
        <w:t>к Правилам присвоения</w:t>
      </w:r>
      <w:r w:rsidRPr="007701F5">
        <w:rPr>
          <w:rFonts w:ascii="Times New Roman" w:eastAsia="Times New Roman" w:hAnsi="Times New Roman" w:cs="Times New Roman"/>
          <w:color w:val="000000"/>
          <w:lang w:eastAsia="ru-RU"/>
        </w:rPr>
        <w:br/>
        <w:t>ученых званий (ассоциированный</w:t>
      </w:r>
      <w:r w:rsidRPr="007701F5">
        <w:rPr>
          <w:rFonts w:ascii="Times New Roman" w:eastAsia="Times New Roman" w:hAnsi="Times New Roman" w:cs="Times New Roman"/>
          <w:color w:val="000000"/>
          <w:lang w:eastAsia="ru-RU"/>
        </w:rPr>
        <w:br/>
        <w:t>профессор (доцент), профессор)</w:t>
      </w:r>
    </w:p>
    <w:p w14:paraId="6152CE6B" w14:textId="77777777" w:rsidR="007D2903" w:rsidRPr="00544454" w:rsidRDefault="00803FD3" w:rsidP="00544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публикаций в международных рецензируемых изданиях</w:t>
      </w:r>
      <w:r w:rsidRPr="00544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40C5C419" w14:textId="77777777" w:rsidR="007D2903" w:rsidRPr="007B6E49" w:rsidRDefault="00803FD3" w:rsidP="005444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Фамилия </w:t>
      </w:r>
      <w:r w:rsidR="007B6E49" w:rsidRPr="007B6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претендента: </w:t>
      </w:r>
      <w:proofErr w:type="spellStart"/>
      <w:r w:rsidR="00793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Ахментаева</w:t>
      </w:r>
      <w:proofErr w:type="spellEnd"/>
      <w:r w:rsidR="00793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1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Дана </w:t>
      </w:r>
      <w:proofErr w:type="spellStart"/>
      <w:r w:rsidR="009E1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Алимхановна</w:t>
      </w:r>
      <w:proofErr w:type="spellEnd"/>
    </w:p>
    <w:p w14:paraId="7E00DC21" w14:textId="77777777" w:rsidR="007D2903" w:rsidRPr="00793AEF" w:rsidRDefault="00803FD3" w:rsidP="005444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</w:t>
      </w:r>
      <w:r w:rsidR="0079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1B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</w:t>
      </w:r>
      <w:r w:rsidRPr="00793A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93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F3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ScopusAuthorID</w:t>
      </w:r>
      <w:proofErr w:type="spellEnd"/>
      <w:r w:rsidRPr="0079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3C4878" w:rsidRPr="00793AEF">
        <w:rPr>
          <w:rFonts w:ascii="Times New Roman" w:eastAsia="Times New Roman" w:hAnsi="Times New Roman" w:cs="Times New Roman"/>
          <w:sz w:val="24"/>
          <w:szCs w:val="24"/>
          <w:lang w:eastAsia="ru-RU"/>
        </w:rPr>
        <w:t>60210928200</w:t>
      </w:r>
      <w:r w:rsidRPr="00793AEF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br/>
      </w:r>
      <w:proofErr w:type="spellStart"/>
      <w:r w:rsidRPr="00AF31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WebofScienceResearcher</w:t>
      </w:r>
      <w:proofErr w:type="spellEnd"/>
      <w:r w:rsidRPr="00793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ORCID</w:t>
      </w:r>
      <w:r w:rsidRPr="0079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7DE6" w:rsidRPr="003F7B34">
        <w:rPr>
          <w:rFonts w:ascii="Times New Roman" w:hAnsi="Times New Roman" w:cs="Times New Roman"/>
          <w:sz w:val="24"/>
          <w:szCs w:val="24"/>
        </w:rPr>
        <w:fldChar w:fldCharType="begin"/>
      </w:r>
      <w:r w:rsidRPr="00544454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793AEF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544454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Pr="00793AEF">
        <w:rPr>
          <w:rFonts w:ascii="Times New Roman" w:hAnsi="Times New Roman" w:cs="Times New Roman"/>
          <w:sz w:val="24"/>
          <w:szCs w:val="24"/>
        </w:rPr>
        <w:instrText>://</w:instrText>
      </w:r>
      <w:r w:rsidRPr="00544454">
        <w:rPr>
          <w:rFonts w:ascii="Times New Roman" w:hAnsi="Times New Roman" w:cs="Times New Roman"/>
          <w:sz w:val="24"/>
          <w:szCs w:val="24"/>
          <w:lang w:val="en-US"/>
        </w:rPr>
        <w:instrText>orcid</w:instrText>
      </w:r>
      <w:r w:rsidRPr="00793AEF">
        <w:rPr>
          <w:rFonts w:ascii="Times New Roman" w:hAnsi="Times New Roman" w:cs="Times New Roman"/>
          <w:sz w:val="24"/>
          <w:szCs w:val="24"/>
        </w:rPr>
        <w:instrText>.</w:instrText>
      </w:r>
      <w:r w:rsidRPr="00544454">
        <w:rPr>
          <w:rFonts w:ascii="Times New Roman" w:hAnsi="Times New Roman" w:cs="Times New Roman"/>
          <w:sz w:val="24"/>
          <w:szCs w:val="24"/>
          <w:lang w:val="en-US"/>
        </w:rPr>
        <w:instrText>org</w:instrText>
      </w:r>
      <w:r w:rsidRPr="00793AEF">
        <w:rPr>
          <w:rFonts w:ascii="Times New Roman" w:hAnsi="Times New Roman" w:cs="Times New Roman"/>
          <w:sz w:val="24"/>
          <w:szCs w:val="24"/>
        </w:rPr>
        <w:instrText>/0000-0002-6880-2320" \</w:instrText>
      </w:r>
      <w:r w:rsidRPr="00544454">
        <w:rPr>
          <w:rFonts w:ascii="Times New Roman" w:hAnsi="Times New Roman" w:cs="Times New Roman"/>
          <w:sz w:val="24"/>
          <w:szCs w:val="24"/>
          <w:lang w:val="en-US"/>
        </w:rPr>
        <w:instrText>t</w:instrText>
      </w:r>
      <w:r w:rsidRPr="00793AEF">
        <w:rPr>
          <w:rFonts w:ascii="Times New Roman" w:hAnsi="Times New Roman" w:cs="Times New Roman"/>
          <w:sz w:val="24"/>
          <w:szCs w:val="24"/>
        </w:rPr>
        <w:instrText xml:space="preserve"> "_</w:instrText>
      </w:r>
      <w:r w:rsidRPr="00544454">
        <w:rPr>
          <w:rFonts w:ascii="Times New Roman" w:hAnsi="Times New Roman" w:cs="Times New Roman"/>
          <w:sz w:val="24"/>
          <w:szCs w:val="24"/>
          <w:lang w:val="en-US"/>
        </w:rPr>
        <w:instrText>blank</w:instrText>
      </w:r>
      <w:r w:rsidRPr="00793AEF">
        <w:rPr>
          <w:rFonts w:ascii="Times New Roman" w:hAnsi="Times New Roman" w:cs="Times New Roman"/>
          <w:sz w:val="24"/>
          <w:szCs w:val="24"/>
        </w:rPr>
        <w:instrText>"</w:instrText>
      </w:r>
      <w:r w:rsidR="00937DE6" w:rsidRPr="003F7B34">
        <w:rPr>
          <w:rFonts w:ascii="Times New Roman" w:hAnsi="Times New Roman" w:cs="Times New Roman"/>
          <w:sz w:val="24"/>
          <w:szCs w:val="24"/>
        </w:rPr>
      </w:r>
      <w:r w:rsidR="00937DE6" w:rsidRPr="003F7B34">
        <w:rPr>
          <w:rFonts w:ascii="Times New Roman" w:hAnsi="Times New Roman" w:cs="Times New Roman"/>
          <w:sz w:val="24"/>
          <w:szCs w:val="24"/>
        </w:rPr>
        <w:fldChar w:fldCharType="separate"/>
      </w:r>
      <w:r w:rsidR="00A40429" w:rsidRPr="00793AEF">
        <w:rPr>
          <w:rFonts w:ascii="Times New Roman" w:hAnsi="Times New Roman" w:cs="Times New Roman"/>
          <w:sz w:val="24"/>
          <w:szCs w:val="24"/>
        </w:rPr>
        <w:t>0000-0001-</w:t>
      </w:r>
      <w:r w:rsidR="009E1E88" w:rsidRPr="00793AEF">
        <w:rPr>
          <w:rFonts w:ascii="Times New Roman" w:hAnsi="Times New Roman" w:cs="Times New Roman"/>
          <w:sz w:val="24"/>
          <w:szCs w:val="24"/>
        </w:rPr>
        <w:t>9395</w:t>
      </w:r>
      <w:r w:rsidR="00A40429" w:rsidRPr="00793AEF">
        <w:rPr>
          <w:rFonts w:ascii="Times New Roman" w:hAnsi="Times New Roman" w:cs="Times New Roman"/>
          <w:sz w:val="24"/>
          <w:szCs w:val="24"/>
        </w:rPr>
        <w:t>-</w:t>
      </w:r>
      <w:r w:rsidR="009E1E88" w:rsidRPr="00793AEF">
        <w:rPr>
          <w:rFonts w:ascii="Times New Roman" w:hAnsi="Times New Roman" w:cs="Times New Roman"/>
          <w:sz w:val="24"/>
          <w:szCs w:val="24"/>
        </w:rPr>
        <w:t>8397</w:t>
      </w:r>
    </w:p>
    <w:tbl>
      <w:tblPr>
        <w:tblW w:w="1404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923"/>
        <w:gridCol w:w="993"/>
        <w:gridCol w:w="2976"/>
        <w:gridCol w:w="1560"/>
        <w:gridCol w:w="1134"/>
        <w:gridCol w:w="1701"/>
        <w:gridCol w:w="2126"/>
        <w:gridCol w:w="1211"/>
      </w:tblGrid>
      <w:tr w:rsidR="003F7B34" w:rsidRPr="003F7B34" w14:paraId="6E398BAF" w14:textId="77777777" w:rsidTr="003F7B3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09D128" w14:textId="77777777" w:rsidR="007D2903" w:rsidRPr="003F7B34" w:rsidRDefault="00937DE6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B3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fldChar w:fldCharType="end"/>
            </w:r>
            <w:r w:rsidR="00803FD3"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A9A60D" w14:textId="77777777" w:rsidR="007D2903" w:rsidRPr="003F7B34" w:rsidRDefault="00803FD3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541540" w14:textId="77777777" w:rsidR="007D2903" w:rsidRPr="003F7B34" w:rsidRDefault="008D337A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публикации (статья, </w:t>
            </w:r>
            <w:r w:rsidR="00803FD3"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обзор и т.д.) 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4BFD82C" w14:textId="77777777" w:rsidR="007D2903" w:rsidRPr="003F7B34" w:rsidRDefault="00803FD3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журнала, год публикации (согласно базам данных), DOI, гиперссылка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D4D200" w14:textId="77777777" w:rsidR="007D2903" w:rsidRPr="003F7B34" w:rsidRDefault="00803FD3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Citation</w:t>
            </w:r>
            <w:proofErr w:type="spellEnd"/>
            <w:r w:rsidR="008D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Reports</w:t>
            </w:r>
            <w:proofErr w:type="spellEnd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Жорнал</w:t>
            </w:r>
            <w:proofErr w:type="spellEnd"/>
            <w:r w:rsidR="008D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Цитэйшэн</w:t>
            </w:r>
            <w:proofErr w:type="spellEnd"/>
            <w:r w:rsidR="008D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Репортс</w:t>
            </w:r>
            <w:proofErr w:type="spellEnd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890CD7" w14:textId="77777777" w:rsidR="007D2903" w:rsidRPr="003F7B34" w:rsidRDefault="00803FD3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 в базе данных Web 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Science Core Collection (Веб оф Сайенс Кор Коллекшн)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BE487A" w14:textId="77777777" w:rsidR="007D2903" w:rsidRPr="003F7B34" w:rsidRDefault="00803FD3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CiteScore</w:t>
            </w:r>
            <w:proofErr w:type="spellEnd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(Сайт</w:t>
            </w:r>
            <w:r w:rsidR="008D3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Скор) журнала, процентиль и область науки* по данным 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Scopus</w:t>
            </w:r>
            <w:proofErr w:type="spellEnd"/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(Скопус) за год публикации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EF6F40" w14:textId="77777777" w:rsidR="007D2903" w:rsidRPr="003F7B34" w:rsidRDefault="00803FD3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8BB8B3" w14:textId="77777777" w:rsidR="007D2903" w:rsidRPr="003F7B34" w:rsidRDefault="00803FD3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4323B6" w:rsidRPr="003F7B34" w14:paraId="02BF694F" w14:textId="77777777" w:rsidTr="00E5613C">
        <w:tc>
          <w:tcPr>
            <w:tcW w:w="1404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B09E8E" w14:textId="4F88042B" w:rsidR="004323B6" w:rsidRPr="006846F4" w:rsidRDefault="006846F4" w:rsidP="00684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  <w:r w:rsidR="00D243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(две)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статьи, относящиеся к  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международны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 рецензируемым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научны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журнала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входящие в 1, 2 и 3 квартиль по данным Journal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Citation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Reports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компании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Clarivate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Analytics или имеющие в базе данных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Scopus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показатель процентиль по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CiteScore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СайтСкор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 не менее 35 (тридцати пяти)</w:t>
            </w:r>
            <w:r w:rsidR="002D10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в которых </w:t>
            </w:r>
            <w:r w:rsidR="002D10B2" w:rsidRPr="002D10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претендент является первым автором или автором для корреспонденции</w:t>
            </w:r>
          </w:p>
        </w:tc>
      </w:tr>
      <w:tr w:rsidR="00EB4079" w:rsidRPr="003F7B34" w14:paraId="3D9E271B" w14:textId="77777777" w:rsidTr="007167D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37A643" w14:textId="77777777" w:rsidR="00EB4079" w:rsidRPr="003F7B34" w:rsidRDefault="00EB4079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D1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F21269" w14:textId="77777777" w:rsidR="00EB4079" w:rsidRPr="003F7B34" w:rsidRDefault="00EB4079" w:rsidP="000F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0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role of diabetes mellitus in the course and complications of pregnancy: A literature review |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B92E37" w14:textId="77777777" w:rsidR="00EB4079" w:rsidRPr="003F7B34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2EA3A2" w14:textId="77777777" w:rsidR="00EB4079" w:rsidRPr="00904319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2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 Council</w:t>
            </w:r>
            <w:r w:rsidRPr="0090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.2025; (16):</w:t>
            </w:r>
            <w:r w:rsidR="008D337A" w:rsidRPr="008D3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0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188–194 </w:t>
            </w:r>
            <w:hyperlink r:id="rId7" w:history="1">
              <w:r w:rsidRPr="009043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https://doi.org/10.21518/ms2025-426</w:t>
              </w:r>
            </w:hyperlink>
          </w:p>
          <w:p w14:paraId="49486BC5" w14:textId="77777777" w:rsidR="00EB4079" w:rsidRPr="00E220B9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20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https://www.scopus.com/pages/publications/105025247818?origin=resultslist</w:t>
            </w:r>
          </w:p>
          <w:p w14:paraId="7A5B504F" w14:textId="77777777" w:rsidR="00EB4079" w:rsidRPr="00E220B9" w:rsidRDefault="00EB4079" w:rsidP="000F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24EE8C" w14:textId="77777777" w:rsidR="00EB4079" w:rsidRPr="000A508F" w:rsidRDefault="00EB4079" w:rsidP="000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4F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37 процентиль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E03079" w14:textId="77777777" w:rsidR="00EB4079" w:rsidRPr="003F7B34" w:rsidRDefault="00EB4079" w:rsidP="000F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B073F6" w14:textId="77777777" w:rsidR="00EB4079" w:rsidRPr="00A36DEB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</w:p>
          <w:p w14:paraId="1A5D94B0" w14:textId="77777777" w:rsidR="00EB4079" w:rsidRPr="00A36DEB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2025-0.7</w:t>
            </w:r>
          </w:p>
          <w:p w14:paraId="131DE222" w14:textId="77777777" w:rsidR="00EB4079" w:rsidRPr="00A36DEB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</w:t>
            </w:r>
          </w:p>
          <w:p w14:paraId="7C78DCAF" w14:textId="77777777" w:rsidR="00EB4079" w:rsidRPr="00A36DEB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2025-37%</w:t>
            </w:r>
          </w:p>
          <w:p w14:paraId="43B71777" w14:textId="77777777" w:rsidR="00EB4079" w:rsidRPr="00A36DEB" w:rsidRDefault="00EB4079" w:rsidP="000F5797">
            <w:pPr>
              <w:pStyle w:val="a5"/>
              <w:spacing w:before="0" w:beforeAutospacing="0" w:after="0" w:afterAutospacing="0"/>
              <w:contextualSpacing/>
              <w:rPr>
                <w:spacing w:val="2"/>
              </w:rPr>
            </w:pPr>
            <w:r w:rsidRPr="003F7B34">
              <w:rPr>
                <w:spacing w:val="2"/>
              </w:rPr>
              <w:t>Область</w:t>
            </w:r>
            <w:r w:rsidR="002D10B2">
              <w:rPr>
                <w:spacing w:val="2"/>
              </w:rPr>
              <w:t xml:space="preserve"> </w:t>
            </w:r>
            <w:r w:rsidRPr="003F7B34">
              <w:rPr>
                <w:spacing w:val="2"/>
              </w:rPr>
              <w:t>науки</w:t>
            </w:r>
          </w:p>
          <w:p w14:paraId="620C0DAA" w14:textId="77777777" w:rsidR="00EB4079" w:rsidRPr="00A36DEB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Medicine</w:t>
            </w:r>
            <w:r w:rsidRPr="00A36D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752002" w14:textId="77777777" w:rsidR="00EB4079" w:rsidRPr="003F7B34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Medicine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5999C2" w14:textId="77777777" w:rsidR="00EB4079" w:rsidRPr="0094470D" w:rsidRDefault="00EB4079" w:rsidP="000F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70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Dana A. Akhmentayeva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Zhanar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Zh</w:t>
            </w:r>
            <w:proofErr w:type="spellEnd"/>
            <w:r w:rsidR="008D33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D337A">
              <w:rPr>
                <w:rFonts w:ascii="Times New Roman" w:hAnsi="Times New Roman"/>
                <w:sz w:val="24"/>
                <w:szCs w:val="24"/>
                <w:lang w:val="en-US"/>
              </w:rPr>
              <w:t>Toktarova</w:t>
            </w:r>
            <w:proofErr w:type="spellEnd"/>
            <w:r w:rsidR="008D337A">
              <w:rPr>
                <w:rFonts w:ascii="Times New Roman" w:hAnsi="Times New Roman"/>
                <w:sz w:val="24"/>
                <w:szCs w:val="24"/>
                <w:lang w:val="en-US"/>
              </w:rPr>
              <w:t>, Aygyul K. Izhanova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Meiramgul O. Tokbulatova, Assel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Issabekova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Galiya Kh. </w:t>
            </w:r>
            <w:proofErr w:type="spellStart"/>
            <w:r w:rsidRPr="0094470D">
              <w:rPr>
                <w:rFonts w:ascii="Times New Roman" w:hAnsi="Times New Roman"/>
                <w:sz w:val="24"/>
                <w:szCs w:val="24"/>
                <w:lang w:val="en-US"/>
              </w:rPr>
              <w:t>Zhansarina</w:t>
            </w:r>
            <w:proofErr w:type="spellEnd"/>
          </w:p>
        </w:tc>
        <w:tc>
          <w:tcPr>
            <w:tcW w:w="1211" w:type="dxa"/>
            <w:vAlign w:val="center"/>
          </w:tcPr>
          <w:p w14:paraId="6B6C87AF" w14:textId="77777777" w:rsidR="00EB4079" w:rsidRPr="003F7B34" w:rsidRDefault="00EB4079" w:rsidP="000F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proofErr w:type="spellStart"/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автор</w:t>
            </w:r>
            <w:proofErr w:type="spellEnd"/>
          </w:p>
        </w:tc>
      </w:tr>
      <w:tr w:rsidR="002D10B2" w:rsidRPr="003F7B34" w14:paraId="046BF8AD" w14:textId="77777777" w:rsidTr="007167DB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4F0B40" w14:textId="77777777" w:rsidR="002D10B2" w:rsidRDefault="002D10B2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6F8B4A" w14:textId="77777777" w:rsidR="002D10B2" w:rsidRPr="005954D8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proofErr w:type="spellStart"/>
              <w:r w:rsidRPr="005954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Inclisiran</w:t>
              </w:r>
              <w:proofErr w:type="spellEnd"/>
              <w:r w:rsidRPr="005954D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in Dyslipidemia with High Residual Platelet Reactivity</w:t>
              </w:r>
            </w:hyperlink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83F653C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1B6FFD" w14:textId="77777777" w:rsidR="002D10B2" w:rsidRDefault="002D10B2" w:rsidP="005B3C1D">
            <w:pPr>
              <w:spacing w:after="0" w:line="240" w:lineRule="auto"/>
              <w:rPr>
                <w:lang w:val="en-US"/>
              </w:rPr>
            </w:pPr>
            <w:hyperlink r:id="rId9" w:history="1">
              <w:r w:rsidRPr="0037069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Diseases</w:t>
              </w:r>
            </w:hyperlink>
            <w:r w:rsidRPr="0037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2026, 14(1), 30;</w:t>
            </w:r>
            <w:hyperlink r:id="rId10" w:history="1">
              <w:r w:rsidRPr="0037069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https://doi.org/10.3390/diseases14010030</w:t>
              </w:r>
            </w:hyperlink>
          </w:p>
          <w:p w14:paraId="4EA3F16F" w14:textId="77777777" w:rsidR="002D10B2" w:rsidRPr="00B618A4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https://www.scopus.com/pages/publications/105028490450?origin=resultslist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7215D5" w14:textId="77777777" w:rsidR="002D10B2" w:rsidRPr="003F7B34" w:rsidRDefault="002D10B2" w:rsidP="005B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Q2 – 78</w:t>
            </w:r>
            <w:r w:rsidRPr="00F4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процентиль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BC4313" w14:textId="77777777" w:rsidR="002D10B2" w:rsidRPr="003F7B34" w:rsidRDefault="002D10B2" w:rsidP="005B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6620AB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CiteScore</w:t>
            </w:r>
            <w:proofErr w:type="spellEnd"/>
          </w:p>
          <w:p w14:paraId="6B003F1F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  <w:p w14:paraId="038283E6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AB6F1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Процентиль </w:t>
            </w:r>
          </w:p>
          <w:p w14:paraId="531911B8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  <w:p w14:paraId="03C99557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2E7BF" w14:textId="77777777" w:rsidR="002D10B2" w:rsidRPr="003F7B34" w:rsidRDefault="002D10B2" w:rsidP="005B3C1D">
            <w:pPr>
              <w:pStyle w:val="a5"/>
              <w:spacing w:before="0" w:beforeAutospacing="0" w:after="0" w:afterAutospacing="0"/>
              <w:contextualSpacing/>
              <w:rPr>
                <w:spacing w:val="2"/>
              </w:rPr>
            </w:pPr>
            <w:r w:rsidRPr="003F7B34">
              <w:rPr>
                <w:spacing w:val="2"/>
              </w:rPr>
              <w:t>Область науки</w:t>
            </w:r>
          </w:p>
          <w:p w14:paraId="3E316C9E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F7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Medicine</w:t>
            </w:r>
            <w:r w:rsidRPr="003F7B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20C843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3F7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Medicine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AF642B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DinaKapsultanova</w:t>
            </w:r>
            <w:proofErr w:type="spellEnd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8A29771" w14:textId="77777777" w:rsidR="002D10B2" w:rsidRPr="00A36DEB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SholpanZhangelova</w:t>
            </w:r>
            <w:proofErr w:type="spellEnd"/>
          </w:p>
          <w:p w14:paraId="4098B161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FribaNurmukhammad</w:t>
            </w:r>
            <w:proofErr w:type="spellEnd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CD99C39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ZulfiyaMakasheva</w:t>
            </w:r>
            <w:proofErr w:type="spellEnd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034B0336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OrazbekSakhov</w:t>
            </w:r>
            <w:proofErr w:type="spellEnd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FC6F38C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TamaraGalkina</w:t>
            </w:r>
            <w:proofErr w:type="spellEnd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E7A4643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FaridaRustamova</w:t>
            </w:r>
            <w:proofErr w:type="spellEnd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3E6413E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793AE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Dana Akhmentayeva</w:t>
            </w:r>
          </w:p>
          <w:p w14:paraId="6361DD9C" w14:textId="77777777" w:rsidR="002D10B2" w:rsidRPr="00793AEF" w:rsidRDefault="002D10B2" w:rsidP="005B3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BotakozAubakirova</w:t>
            </w:r>
            <w:proofErr w:type="spellEnd"/>
          </w:p>
        </w:tc>
        <w:tc>
          <w:tcPr>
            <w:tcW w:w="1211" w:type="dxa"/>
            <w:vAlign w:val="center"/>
          </w:tcPr>
          <w:p w14:paraId="3C7F8DB4" w14:textId="77777777" w:rsidR="002D10B2" w:rsidRPr="003F7B34" w:rsidRDefault="002D10B2" w:rsidP="005B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корреспонденции</w:t>
            </w:r>
          </w:p>
        </w:tc>
      </w:tr>
      <w:tr w:rsidR="002D10B2" w:rsidRPr="003F7B34" w14:paraId="6CECC0BC" w14:textId="77777777" w:rsidTr="0096359D">
        <w:tc>
          <w:tcPr>
            <w:tcW w:w="14044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2FC6DC" w14:textId="67098C19" w:rsidR="002D10B2" w:rsidRDefault="002D10B2" w:rsidP="00840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3 </w:t>
            </w:r>
            <w:r w:rsidR="00D243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(три)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статьи, относящиеся к  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международны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 рецензируемым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научны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журнала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</w:t>
            </w:r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входящие в 1, 2 и 3 квартиль по данным Journal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Citation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Reports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компании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Clarivate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Analytics или имеющие в базе данных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Scopus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показатель процентиль по 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CiteScore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СайтСкор</w:t>
            </w:r>
            <w:proofErr w:type="spellEnd"/>
            <w:r w:rsidRPr="006846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 не менее 35 (тридцати пяти)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в которых </w:t>
            </w:r>
            <w:r w:rsidRPr="002D10B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претендент является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соавтором, </w:t>
            </w:r>
            <w:r w:rsidR="0084051C" w:rsidRPr="0084051C">
              <w:rPr>
                <w:rFonts w:ascii="Times New Roman" w:hAnsi="Times New Roman" w:cs="Times New Roman"/>
                <w:sz w:val="24"/>
                <w:szCs w:val="24"/>
              </w:rPr>
              <w:t>и замещающи</w:t>
            </w:r>
            <w:r w:rsidR="0084051C">
              <w:rPr>
                <w:rFonts w:ascii="Times New Roman" w:hAnsi="Times New Roman" w:cs="Times New Roman"/>
                <w:sz w:val="24"/>
                <w:szCs w:val="24"/>
              </w:rPr>
              <w:t>е 6</w:t>
            </w:r>
            <w:r w:rsidR="0084051C" w:rsidRPr="0084051C">
              <w:rPr>
                <w:rFonts w:ascii="Times New Roman" w:hAnsi="Times New Roman" w:cs="Times New Roman"/>
                <w:sz w:val="24"/>
                <w:szCs w:val="24"/>
              </w:rPr>
              <w:t xml:space="preserve"> статей, опубликованных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84051C" w:rsidRPr="003F7B34" w14:paraId="68DC77DC" w14:textId="77777777" w:rsidTr="00393A5C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AACBD4" w14:textId="77777777" w:rsidR="0084051C" w:rsidRPr="003F7B34" w:rsidRDefault="0084051C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5A74A3" w14:textId="77777777" w:rsidR="0084051C" w:rsidRPr="00EB4079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Real-world data on managing patients with coronary artery </w:t>
            </w:r>
            <w:r w:rsidRPr="0019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disease and multifocal atherosclerosis. Results of the 12-month international clinical registry of patients with identified multifocal atherosclerosis in the Russian Federation and Eurasian countries (KAMMA)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3944EA" w14:textId="77777777" w:rsidR="0084051C" w:rsidRPr="003F7B34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статья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15AB96" w14:textId="77777777" w:rsidR="0084051C" w:rsidRPr="001D783B" w:rsidRDefault="0084051C" w:rsidP="00F774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Russian Journal of Cardiology</w:t>
            </w:r>
            <w:r w:rsidRPr="00A36D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3500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025;</w:t>
            </w:r>
            <w:r w:rsidRPr="00A36D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00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 w:rsidRPr="00A36D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00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(3):</w:t>
            </w:r>
            <w:r w:rsidRPr="00A36D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00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6152. (In Russ.)</w:t>
            </w:r>
          </w:p>
          <w:p w14:paraId="1B646685" w14:textId="77777777" w:rsidR="0084051C" w:rsidRPr="001D783B" w:rsidRDefault="0084051C" w:rsidP="00F774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1D783B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https://doi.org/10.15829/156</w:t>
              </w:r>
              <w:r w:rsidRPr="001D783B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lastRenderedPageBreak/>
                <w:t>0-4071-2025-6152</w:t>
              </w:r>
            </w:hyperlink>
          </w:p>
          <w:p w14:paraId="75BDCBAA" w14:textId="77777777" w:rsidR="0084051C" w:rsidRPr="001D783B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1D783B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://</w:t>
              </w:r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1D783B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scopus</w:t>
              </w:r>
              <w:r w:rsidRPr="001D783B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1D783B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/</w:t>
              </w:r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pages</w:t>
              </w:r>
              <w:r w:rsidRPr="001D783B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/</w:t>
              </w:r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publications</w:t>
              </w:r>
              <w:r w:rsidRPr="001D783B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/105007037924?</w:t>
              </w:r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origin</w:t>
              </w:r>
              <w:r w:rsidRPr="001D783B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=</w:t>
              </w:r>
              <w:r w:rsidRPr="0046038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resultslist</w:t>
              </w:r>
            </w:hyperlink>
          </w:p>
          <w:p w14:paraId="0D3B2050" w14:textId="77777777" w:rsidR="0084051C" w:rsidRPr="001D783B" w:rsidRDefault="0084051C" w:rsidP="00F774A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5351BD" w14:textId="77777777" w:rsidR="0084051C" w:rsidRPr="003F7B34" w:rsidRDefault="0084051C" w:rsidP="00F7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E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Q</w:t>
            </w:r>
            <w:r w:rsidRPr="00FC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процентиль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738DBD" w14:textId="77777777" w:rsidR="0084051C" w:rsidRPr="003F7B34" w:rsidRDefault="0084051C" w:rsidP="00F7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114979" w14:textId="77777777" w:rsidR="0084051C" w:rsidRPr="007543A2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</w:p>
          <w:p w14:paraId="6D3CA18A" w14:textId="77777777" w:rsidR="0084051C" w:rsidRPr="007543A2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  <w:p w14:paraId="4A0E0B44" w14:textId="77777777" w:rsidR="0084051C" w:rsidRPr="007543A2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7D30B58" w14:textId="77777777" w:rsidR="0084051C" w:rsidRPr="007543A2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</w:t>
            </w:r>
          </w:p>
          <w:p w14:paraId="1666E811" w14:textId="77777777" w:rsidR="0084051C" w:rsidRPr="007543A2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202</w:t>
            </w: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7543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14:paraId="04E19764" w14:textId="77777777" w:rsidR="0084051C" w:rsidRPr="003F7B34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9882E" w14:textId="77777777" w:rsidR="0084051C" w:rsidRPr="003F7B34" w:rsidRDefault="0084051C" w:rsidP="00F774A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Arutyunov G.P.,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Tarlovskaya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E.I., Arutyunov A.G.,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Batluk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T.I.,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Koziolova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N.A.,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Chesnikova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A.I.,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Vaskin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A.Y.,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Tokmin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D.S.,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Bakulin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I.G.,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Barbarash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O.L., Grigoryeva N.Y.,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Gubareva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I.V.,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Izmozherova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N.V., Kamilova U.R.,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Kechedzhieva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S.G., Kim Z.F.,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Koriagina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N.A., Mironova S.V.,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Mitkovskaya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N.P.,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Nemirova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Nurieva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L.M., Petrova M.M., Polyanskaya E.A., Rebrov A.P.,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Svarovskaya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A.V., Smirnova E.A.,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Sugraliev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Khovaeva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Y.B.,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Shavkuta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G.V.,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Shaposhnik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Aimakhanova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G.T., Alieva M.Y.,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Almukhanova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Aparkina</w:t>
            </w:r>
            <w:proofErr w:type="spellEnd"/>
            <w:r w:rsidRPr="00350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A.V., </w:t>
            </w:r>
            <w:r w:rsidRPr="00350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Akhmentaeva D.A.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et.al.</w:t>
            </w:r>
          </w:p>
        </w:tc>
        <w:tc>
          <w:tcPr>
            <w:tcW w:w="1211" w:type="dxa"/>
            <w:vAlign w:val="center"/>
          </w:tcPr>
          <w:p w14:paraId="1A6A3709" w14:textId="77777777" w:rsidR="0084051C" w:rsidRPr="003F7B34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7CE2471" w14:textId="77777777" w:rsidR="0084051C" w:rsidRPr="003F7B34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14:paraId="3A58EA87" w14:textId="77777777" w:rsidR="0084051C" w:rsidRPr="003F7B34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A110B" w14:textId="77777777" w:rsidR="0084051C" w:rsidRPr="003F7B34" w:rsidRDefault="0084051C" w:rsidP="00F7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4051C" w:rsidRPr="003F7B34" w14:paraId="5B0E032D" w14:textId="77777777" w:rsidTr="003F7B3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EF1AD9" w14:textId="77777777" w:rsidR="0084051C" w:rsidRPr="003F7B34" w:rsidRDefault="0084051C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E5DC96" w14:textId="77777777" w:rsidR="0084051C" w:rsidRPr="0009246D" w:rsidRDefault="0084051C" w:rsidP="00F8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Residual Platelet Reactivity and Dyslipidemia in Post-CABG Patients Undergoing Repeat Revascularization: Insights from Kazakhstan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4C33BF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69E448" w14:textId="77777777" w:rsidR="0084051C" w:rsidRPr="00793AEF" w:rsidRDefault="0084051C" w:rsidP="00F8083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846F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Diseases. 2025. </w:t>
            </w:r>
            <w:r w:rsidRPr="00793AE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Nov 9;</w:t>
            </w:r>
            <w:r w:rsidRPr="00A36D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  <w:r w:rsidRPr="00A36D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(11):</w:t>
            </w:r>
            <w:r w:rsidRPr="00A36D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365. doi:10.3390/diseases13110365.</w:t>
            </w:r>
          </w:p>
          <w:p w14:paraId="336752FB" w14:textId="77777777" w:rsidR="0084051C" w:rsidRPr="00793AEF" w:rsidRDefault="0084051C" w:rsidP="00F8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https://www.scopus.com/pages/publications/105022876004?origin=resultslist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E74333" w14:textId="77777777" w:rsidR="0084051C" w:rsidRPr="0009246D" w:rsidRDefault="0084051C" w:rsidP="00F8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Q2 – 78</w:t>
            </w:r>
            <w:r w:rsidRPr="0078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процентиль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09C81B" w14:textId="77777777" w:rsidR="0084051C" w:rsidRPr="0009246D" w:rsidRDefault="0084051C" w:rsidP="00F8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4E7FB6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CiteScore</w:t>
            </w:r>
            <w:proofErr w:type="spellEnd"/>
          </w:p>
          <w:p w14:paraId="14864309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2025-3.7</w:t>
            </w:r>
          </w:p>
          <w:p w14:paraId="7DC6628B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F6A21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Процентиль </w:t>
            </w:r>
          </w:p>
          <w:p w14:paraId="505742BD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3EA822D4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CF482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науки</w:t>
            </w:r>
          </w:p>
          <w:p w14:paraId="4A4D02BB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Medicine</w:t>
            </w: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76EA22B" w14:textId="77777777" w:rsidR="0084051C" w:rsidRPr="0009246D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2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General Medicine 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50041E" w14:textId="77777777" w:rsidR="0084051C" w:rsidRPr="0009246D" w:rsidRDefault="0084051C" w:rsidP="00F80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Mussagaliyeva</w:t>
            </w:r>
            <w:proofErr w:type="spellEnd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Zhangelova S, </w:t>
            </w:r>
            <w:proofErr w:type="spellStart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Danyarova</w:t>
            </w:r>
            <w:proofErr w:type="spellEnd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L, </w:t>
            </w:r>
            <w:proofErr w:type="spellStart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Nurmukhammad</w:t>
            </w:r>
            <w:proofErr w:type="spellEnd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F, </w:t>
            </w:r>
            <w:proofErr w:type="spellStart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Kapsultanova</w:t>
            </w:r>
            <w:proofErr w:type="spellEnd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 </w:t>
            </w:r>
            <w:proofErr w:type="spellStart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Sakhov</w:t>
            </w:r>
            <w:proofErr w:type="spellEnd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 Rustamova F, </w:t>
            </w:r>
            <w:proofErr w:type="spellStart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Sugraliyev</w:t>
            </w:r>
            <w:proofErr w:type="spellEnd"/>
            <w:r w:rsidRPr="00092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09246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Akhmentayeva</w:t>
            </w:r>
            <w:proofErr w:type="spellEnd"/>
            <w:r w:rsidRPr="0009246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D.</w:t>
            </w:r>
          </w:p>
        </w:tc>
        <w:tc>
          <w:tcPr>
            <w:tcW w:w="1211" w:type="dxa"/>
            <w:vAlign w:val="center"/>
          </w:tcPr>
          <w:p w14:paraId="2ABACB17" w14:textId="77777777" w:rsidR="0084051C" w:rsidRPr="004830BF" w:rsidRDefault="0084051C" w:rsidP="00F8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  <w:tr w:rsidR="0084051C" w:rsidRPr="003F7B34" w14:paraId="2BCDD199" w14:textId="77777777" w:rsidTr="003F7B3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9CBCAD" w14:textId="77777777" w:rsidR="0084051C" w:rsidRPr="003F7B34" w:rsidRDefault="0084051C" w:rsidP="003F7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7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FEFED4" w14:textId="77777777" w:rsidR="0084051C" w:rsidRPr="006646D0" w:rsidRDefault="0084051C" w:rsidP="00193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 therapeutic advances in gynecologic oncology: evolving roles of immunotherapy, antibody–drug conjugates, and clinical trial innovations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82FDE1" w14:textId="77777777" w:rsidR="0084051C" w:rsidRPr="006646D0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528C1D" w14:textId="77777777" w:rsidR="0084051C" w:rsidRPr="00793AEF" w:rsidRDefault="0084051C" w:rsidP="00193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Frontiers</w:t>
            </w:r>
            <w:r w:rsidRPr="00840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40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Oncology</w:t>
            </w:r>
            <w:r w:rsidRPr="00840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ISSN:</w:t>
            </w: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2234943X</w:t>
            </w:r>
            <w:r w:rsidRPr="00840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Volume: 15</w:t>
            </w:r>
          </w:p>
          <w:p w14:paraId="04D5F32E" w14:textId="77777777" w:rsidR="0084051C" w:rsidRPr="00793AEF" w:rsidRDefault="0084051C" w:rsidP="00193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  <w:r w:rsidRPr="00840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Open</w:t>
            </w:r>
            <w:r w:rsidRPr="008405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Access</w:t>
            </w:r>
            <w:r w:rsidRPr="008405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840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EID: 2-s2.0-105028872490</w:t>
            </w:r>
          </w:p>
          <w:p w14:paraId="1EDED97F" w14:textId="77777777" w:rsidR="0084051C" w:rsidRPr="00793AEF" w:rsidRDefault="0084051C" w:rsidP="00193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 10.3389/fonc.2025.1697180</w:t>
            </w:r>
          </w:p>
          <w:p w14:paraId="664A8FF0" w14:textId="77777777" w:rsidR="0084051C" w:rsidRPr="00793AEF" w:rsidRDefault="0084051C" w:rsidP="00193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https://www.scopus.com/pages/publications/105028872490?origin=resultslist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80C9DF" w14:textId="77777777" w:rsidR="0084051C" w:rsidRPr="003F7B34" w:rsidRDefault="0084051C" w:rsidP="0019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4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1- 91 </w:t>
            </w:r>
            <w:r w:rsidRPr="00F4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CD4821" w14:textId="77777777" w:rsidR="0084051C" w:rsidRPr="00764E3C" w:rsidRDefault="0084051C" w:rsidP="0019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54E4D8" w14:textId="77777777" w:rsidR="0084051C" w:rsidRPr="00BF2ED7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CiteScore</w:t>
            </w:r>
            <w:proofErr w:type="spellEnd"/>
          </w:p>
          <w:p w14:paraId="01DBF78F" w14:textId="77777777" w:rsidR="0084051C" w:rsidRPr="00BF2ED7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  <w:p w14:paraId="6EB4C831" w14:textId="77777777" w:rsidR="0084051C" w:rsidRPr="00BF2ED7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0F631" w14:textId="77777777" w:rsidR="0084051C" w:rsidRPr="00090CD2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Процентиль </w:t>
            </w:r>
          </w:p>
          <w:p w14:paraId="10A1800F" w14:textId="77777777" w:rsidR="0084051C" w:rsidRPr="00090CD2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2025-91%</w:t>
            </w:r>
          </w:p>
          <w:p w14:paraId="1EBA7327" w14:textId="77777777" w:rsidR="0084051C" w:rsidRPr="00BF2ED7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  <w:p w14:paraId="71E05F61" w14:textId="77777777" w:rsidR="0084051C" w:rsidRPr="00090CD2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науки</w:t>
            </w:r>
          </w:p>
          <w:p w14:paraId="47B7FFA1" w14:textId="77777777" w:rsidR="0084051C" w:rsidRPr="00090CD2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Medicine</w:t>
            </w:r>
            <w:r w:rsidRPr="0009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8D692D6" w14:textId="77777777" w:rsidR="0084051C" w:rsidRPr="006646D0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0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Medicine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CC034B" w14:textId="77777777" w:rsidR="0084051C" w:rsidRPr="005246FE" w:rsidRDefault="0084051C" w:rsidP="00A36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Koshkimbayeva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Amirkhanova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Orazymbetova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Nurakhova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Maimakova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Duisenbayeva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Akhmad N, Abilova A, </w:t>
            </w: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Abilbayeva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Akhelova</w:t>
            </w:r>
            <w:proofErr w:type="spellEnd"/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5246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Akhmentayeva</w:t>
            </w:r>
            <w:proofErr w:type="spellEnd"/>
            <w:r w:rsidRPr="005246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D</w:t>
            </w:r>
            <w:r w:rsidR="00A36DEB" w:rsidRPr="00A3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et.al.</w:t>
            </w:r>
            <w:r w:rsidRPr="00524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1" w:type="dxa"/>
            <w:vAlign w:val="center"/>
          </w:tcPr>
          <w:p w14:paraId="5FA72F48" w14:textId="77777777" w:rsidR="0084051C" w:rsidRPr="005246FE" w:rsidRDefault="0084051C" w:rsidP="0019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</w:tbl>
    <w:p w14:paraId="11EE9867" w14:textId="77777777" w:rsidR="00A36DEB" w:rsidRDefault="00A36DEB" w:rsidP="00A36D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595547" w14:textId="77777777" w:rsidR="00FF54BC" w:rsidRPr="00FF54BC" w:rsidRDefault="00A36DEB" w:rsidP="00FF54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i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Соискатель</w:t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="00425800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Д</w:t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.</w:t>
      </w:r>
      <w:r w:rsidR="00425800">
        <w:rPr>
          <w:rFonts w:ascii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А</w:t>
      </w:r>
      <w:r w:rsidR="00FF54BC"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. </w:t>
      </w:r>
      <w:r w:rsidR="00425800">
        <w:rPr>
          <w:rFonts w:ascii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Ахментаева</w:t>
      </w:r>
    </w:p>
    <w:p w14:paraId="43293E90" w14:textId="77777777" w:rsidR="00156D32" w:rsidRDefault="00156D32" w:rsidP="00FF54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val="en-US" w:eastAsia="ru-RU"/>
        </w:rPr>
      </w:pPr>
    </w:p>
    <w:p w14:paraId="2051F5E1" w14:textId="77777777" w:rsidR="00FF54BC" w:rsidRPr="00FF54BC" w:rsidRDefault="00FF54BC" w:rsidP="00FF54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Ученый секретарь, д.м.н., </w:t>
      </w:r>
    </w:p>
    <w:p w14:paraId="03526ADF" w14:textId="77777777" w:rsidR="007D2903" w:rsidRPr="00544454" w:rsidRDefault="00FF54BC" w:rsidP="000939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ассоциированный профессор</w:t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</w:r>
      <w:r w:rsidRPr="00FF54BC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ab/>
        <w:t>А.Ш. Ибраева</w:t>
      </w:r>
    </w:p>
    <w:sectPr w:rsidR="007D2903" w:rsidRPr="00544454" w:rsidSect="003C4F22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3848" w14:textId="77777777" w:rsidR="00C12230" w:rsidRDefault="00C12230">
      <w:pPr>
        <w:spacing w:line="240" w:lineRule="auto"/>
      </w:pPr>
      <w:r>
        <w:separator/>
      </w:r>
    </w:p>
  </w:endnote>
  <w:endnote w:type="continuationSeparator" w:id="0">
    <w:p w14:paraId="23163FCB" w14:textId="77777777" w:rsidR="00C12230" w:rsidRDefault="00C12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3CE0" w14:textId="77777777" w:rsidR="00C12230" w:rsidRDefault="00C12230">
      <w:pPr>
        <w:spacing w:after="0"/>
      </w:pPr>
      <w:r>
        <w:separator/>
      </w:r>
    </w:p>
  </w:footnote>
  <w:footnote w:type="continuationSeparator" w:id="0">
    <w:p w14:paraId="31E1AA44" w14:textId="77777777" w:rsidR="00C12230" w:rsidRDefault="00C122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29DC"/>
    <w:multiLevelType w:val="multilevel"/>
    <w:tmpl w:val="26E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67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903"/>
    <w:rsid w:val="00007DF3"/>
    <w:rsid w:val="00012991"/>
    <w:rsid w:val="00021560"/>
    <w:rsid w:val="00023328"/>
    <w:rsid w:val="00036C66"/>
    <w:rsid w:val="00061A66"/>
    <w:rsid w:val="00090CD2"/>
    <w:rsid w:val="0009246D"/>
    <w:rsid w:val="000939BF"/>
    <w:rsid w:val="000A4E09"/>
    <w:rsid w:val="000A508F"/>
    <w:rsid w:val="000B7576"/>
    <w:rsid w:val="000C3AC9"/>
    <w:rsid w:val="00156D32"/>
    <w:rsid w:val="00180EEF"/>
    <w:rsid w:val="00192E73"/>
    <w:rsid w:val="001D783B"/>
    <w:rsid w:val="00221B48"/>
    <w:rsid w:val="00225365"/>
    <w:rsid w:val="00260B61"/>
    <w:rsid w:val="00285066"/>
    <w:rsid w:val="00290634"/>
    <w:rsid w:val="002A05C0"/>
    <w:rsid w:val="002A4AD1"/>
    <w:rsid w:val="002C4E96"/>
    <w:rsid w:val="002D10B2"/>
    <w:rsid w:val="003116F1"/>
    <w:rsid w:val="003500EB"/>
    <w:rsid w:val="00365328"/>
    <w:rsid w:val="00365973"/>
    <w:rsid w:val="00370592"/>
    <w:rsid w:val="00370692"/>
    <w:rsid w:val="00373766"/>
    <w:rsid w:val="00382B62"/>
    <w:rsid w:val="00384789"/>
    <w:rsid w:val="003C2158"/>
    <w:rsid w:val="003C4878"/>
    <w:rsid w:val="003C4F22"/>
    <w:rsid w:val="003E0797"/>
    <w:rsid w:val="003F7B34"/>
    <w:rsid w:val="00410DB8"/>
    <w:rsid w:val="00425800"/>
    <w:rsid w:val="004323B6"/>
    <w:rsid w:val="00460380"/>
    <w:rsid w:val="004759CF"/>
    <w:rsid w:val="004830BF"/>
    <w:rsid w:val="00484342"/>
    <w:rsid w:val="004B5AFE"/>
    <w:rsid w:val="004C18E1"/>
    <w:rsid w:val="004C272C"/>
    <w:rsid w:val="004D7F90"/>
    <w:rsid w:val="004E19F1"/>
    <w:rsid w:val="004F6E71"/>
    <w:rsid w:val="00501B6B"/>
    <w:rsid w:val="00502C2B"/>
    <w:rsid w:val="00510194"/>
    <w:rsid w:val="005246FE"/>
    <w:rsid w:val="00544454"/>
    <w:rsid w:val="00584BA4"/>
    <w:rsid w:val="005954D8"/>
    <w:rsid w:val="005A2888"/>
    <w:rsid w:val="005B18BE"/>
    <w:rsid w:val="005C0042"/>
    <w:rsid w:val="005D773D"/>
    <w:rsid w:val="005F30FA"/>
    <w:rsid w:val="00603C04"/>
    <w:rsid w:val="006442EC"/>
    <w:rsid w:val="00645EF3"/>
    <w:rsid w:val="006646D0"/>
    <w:rsid w:val="006846F4"/>
    <w:rsid w:val="006D250C"/>
    <w:rsid w:val="006E28D9"/>
    <w:rsid w:val="006E500D"/>
    <w:rsid w:val="006E6A23"/>
    <w:rsid w:val="007543A2"/>
    <w:rsid w:val="007561C1"/>
    <w:rsid w:val="00763C8E"/>
    <w:rsid w:val="00764E3C"/>
    <w:rsid w:val="0078120A"/>
    <w:rsid w:val="00793AEF"/>
    <w:rsid w:val="007B6E49"/>
    <w:rsid w:val="007C7DA8"/>
    <w:rsid w:val="007D2615"/>
    <w:rsid w:val="007D2903"/>
    <w:rsid w:val="007D5349"/>
    <w:rsid w:val="00803FD3"/>
    <w:rsid w:val="0081050C"/>
    <w:rsid w:val="0084051C"/>
    <w:rsid w:val="0085418D"/>
    <w:rsid w:val="008778F6"/>
    <w:rsid w:val="00882465"/>
    <w:rsid w:val="00894300"/>
    <w:rsid w:val="008B315C"/>
    <w:rsid w:val="008B5A79"/>
    <w:rsid w:val="008C4D60"/>
    <w:rsid w:val="008D03EA"/>
    <w:rsid w:val="008D337A"/>
    <w:rsid w:val="008D5EB8"/>
    <w:rsid w:val="008F4B1F"/>
    <w:rsid w:val="00904319"/>
    <w:rsid w:val="00937DE6"/>
    <w:rsid w:val="009403A1"/>
    <w:rsid w:val="00940FEC"/>
    <w:rsid w:val="0094470D"/>
    <w:rsid w:val="00954C6C"/>
    <w:rsid w:val="00957179"/>
    <w:rsid w:val="00961EDC"/>
    <w:rsid w:val="00987D6E"/>
    <w:rsid w:val="009A0DA1"/>
    <w:rsid w:val="009B46D2"/>
    <w:rsid w:val="009D0331"/>
    <w:rsid w:val="009E1E88"/>
    <w:rsid w:val="009F4DB0"/>
    <w:rsid w:val="009F76FE"/>
    <w:rsid w:val="00A3174F"/>
    <w:rsid w:val="00A33EFC"/>
    <w:rsid w:val="00A36DEB"/>
    <w:rsid w:val="00A40429"/>
    <w:rsid w:val="00A679A7"/>
    <w:rsid w:val="00A70BE0"/>
    <w:rsid w:val="00A86796"/>
    <w:rsid w:val="00A922BE"/>
    <w:rsid w:val="00AA292D"/>
    <w:rsid w:val="00AE2176"/>
    <w:rsid w:val="00AE310E"/>
    <w:rsid w:val="00AF31B8"/>
    <w:rsid w:val="00AF3297"/>
    <w:rsid w:val="00B10039"/>
    <w:rsid w:val="00B111A1"/>
    <w:rsid w:val="00B42BFA"/>
    <w:rsid w:val="00B442B2"/>
    <w:rsid w:val="00B610E3"/>
    <w:rsid w:val="00B618A4"/>
    <w:rsid w:val="00B70422"/>
    <w:rsid w:val="00B7233C"/>
    <w:rsid w:val="00B82ECC"/>
    <w:rsid w:val="00B83A0B"/>
    <w:rsid w:val="00B9461B"/>
    <w:rsid w:val="00BE16F4"/>
    <w:rsid w:val="00BE3418"/>
    <w:rsid w:val="00BF2ED7"/>
    <w:rsid w:val="00C12230"/>
    <w:rsid w:val="00C27C59"/>
    <w:rsid w:val="00C337D4"/>
    <w:rsid w:val="00C60DC9"/>
    <w:rsid w:val="00C667A4"/>
    <w:rsid w:val="00C73482"/>
    <w:rsid w:val="00C95F15"/>
    <w:rsid w:val="00CA0167"/>
    <w:rsid w:val="00CA74BA"/>
    <w:rsid w:val="00CF0096"/>
    <w:rsid w:val="00D2431F"/>
    <w:rsid w:val="00D536D3"/>
    <w:rsid w:val="00D72D56"/>
    <w:rsid w:val="00D81330"/>
    <w:rsid w:val="00DB53BA"/>
    <w:rsid w:val="00DC73B4"/>
    <w:rsid w:val="00E040F1"/>
    <w:rsid w:val="00E220B9"/>
    <w:rsid w:val="00E25F31"/>
    <w:rsid w:val="00E40ADF"/>
    <w:rsid w:val="00E41A06"/>
    <w:rsid w:val="00E610B3"/>
    <w:rsid w:val="00E81600"/>
    <w:rsid w:val="00EA1117"/>
    <w:rsid w:val="00EB4079"/>
    <w:rsid w:val="00ED100E"/>
    <w:rsid w:val="00ED3BEE"/>
    <w:rsid w:val="00EE6F1D"/>
    <w:rsid w:val="00EF061F"/>
    <w:rsid w:val="00EF2AAC"/>
    <w:rsid w:val="00F400F4"/>
    <w:rsid w:val="00F42A8C"/>
    <w:rsid w:val="00F666F3"/>
    <w:rsid w:val="00FC3DE2"/>
    <w:rsid w:val="00FC3E3B"/>
    <w:rsid w:val="00FF54BC"/>
    <w:rsid w:val="140B387B"/>
    <w:rsid w:val="1F511868"/>
    <w:rsid w:val="288D4AB1"/>
    <w:rsid w:val="3168107E"/>
    <w:rsid w:val="3410779A"/>
    <w:rsid w:val="3AAF0C1E"/>
    <w:rsid w:val="3AF663E8"/>
    <w:rsid w:val="46AB4CF6"/>
    <w:rsid w:val="46C01D9E"/>
    <w:rsid w:val="4D5C7140"/>
    <w:rsid w:val="51A12D77"/>
    <w:rsid w:val="535321C1"/>
    <w:rsid w:val="598F49A2"/>
    <w:rsid w:val="60843731"/>
    <w:rsid w:val="6E40137B"/>
    <w:rsid w:val="714317DD"/>
    <w:rsid w:val="721C0E16"/>
    <w:rsid w:val="78CD25BE"/>
    <w:rsid w:val="7D79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02D45"/>
  <w15:docId w15:val="{CF57090E-5799-4895-A3BA-06491B99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7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semiHidden/>
    <w:unhideWhenUsed/>
    <w:qFormat/>
    <w:rsid w:val="003C4F22"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3C4F22"/>
    <w:rPr>
      <w:color w:val="0000FF"/>
      <w:u w:val="single"/>
    </w:rPr>
  </w:style>
  <w:style w:type="table" w:styleId="a4">
    <w:name w:val="Table Grid"/>
    <w:basedOn w:val="a1"/>
    <w:uiPriority w:val="39"/>
    <w:rsid w:val="003C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8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semiHidden/>
    <w:unhideWhenUsed/>
    <w:rsid w:val="006E28D9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6442EC"/>
    <w:rPr>
      <w:i/>
      <w:iCs/>
    </w:rPr>
  </w:style>
  <w:style w:type="paragraph" w:styleId="a8">
    <w:name w:val="List Paragraph"/>
    <w:basedOn w:val="a"/>
    <w:uiPriority w:val="99"/>
    <w:rsid w:val="007D261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36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9-9721/14/1/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1518/ms2025-426" TargetMode="External"/><Relationship Id="rId12" Type="http://schemas.openxmlformats.org/officeDocument/2006/relationships/hyperlink" Target="https://www.scopus.com/pages/publications/105007037924?origin=results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829/1560-4071-2025-615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390/diseases14010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journal/disea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Dana Akhmentaeva</cp:lastModifiedBy>
  <cp:revision>540</cp:revision>
  <cp:lastPrinted>2026-02-12T09:00:00Z</cp:lastPrinted>
  <dcterms:created xsi:type="dcterms:W3CDTF">2026-01-18T12:06:00Z</dcterms:created>
  <dcterms:modified xsi:type="dcterms:W3CDTF">2026-02-23T15:53:00Z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C90AD79F266C42B48141DB3D667E3166_12</vt:lpwstr>
  </property>
</Properties>
</file>