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72EF" w14:textId="77777777" w:rsidR="00866949" w:rsidRDefault="008669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18"/>
        </w:rPr>
      </w:pPr>
    </w:p>
    <w:p w14:paraId="60A09B58" w14:textId="1B6A47C8" w:rsidR="003A63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  <w:lang w:val="ru-RU"/>
        </w:rPr>
        <w:t>         </w:t>
      </w:r>
      <w:r>
        <w:rPr>
          <w:rFonts w:ascii="Times New Roman" w:eastAsia="Times New Roman" w:hAnsi="Times New Roman" w:cs="Times New Roman"/>
          <w:sz w:val="18"/>
        </w:rPr>
        <w:t>6CF6B4BCFCC14AE8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4360"/>
        <w:gridCol w:w="1451"/>
        <w:gridCol w:w="4252"/>
      </w:tblGrid>
      <w:tr w:rsidR="003A630B" w14:paraId="7543B3E8" w14:textId="77777777">
        <w:tc>
          <w:tcPr>
            <w:tcW w:w="43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C745F08" w14:textId="77777777" w:rsidR="003A630B" w:rsidRDefault="00000000">
            <w:pPr>
              <w:pStyle w:val="aa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С.Ж.Асфендияров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атындағы</w:t>
            </w:r>
            <w:proofErr w:type="spellEnd"/>
          </w:p>
          <w:p w14:paraId="676E6423" w14:textId="77777777" w:rsidR="003A630B" w:rsidRDefault="00000000">
            <w:pPr>
              <w:pStyle w:val="aa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медицина </w:t>
            </w:r>
          </w:p>
          <w:p w14:paraId="11046F54" w14:textId="77777777" w:rsidR="003A630B" w:rsidRDefault="00000000">
            <w:pPr>
              <w:pStyle w:val="aa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университеті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коммерциялық</w:t>
            </w:r>
            <w:proofErr w:type="spellEnd"/>
          </w:p>
          <w:p w14:paraId="722FB078" w14:textId="77777777" w:rsidR="003A630B" w:rsidRDefault="00000000">
            <w:pPr>
              <w:pStyle w:val="aa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акционерлік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</w:p>
          <w:p w14:paraId="2A91EC52" w14:textId="77777777" w:rsidR="003A630B" w:rsidRDefault="00000000">
            <w:pPr>
              <w:pStyle w:val="aa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ru-RU"/>
              </w:rPr>
              <w:t>қоғамы</w:t>
            </w:r>
            <w:proofErr w:type="spellEnd"/>
          </w:p>
        </w:tc>
        <w:tc>
          <w:tcPr>
            <w:tcW w:w="14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B23E207" w14:textId="77777777" w:rsidR="003A630B" w:rsidRDefault="00000000">
            <w:pPr>
              <w:rPr>
                <w:lang w:val="ru-RU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FB4716" wp14:editId="09E31D0B">
                      <wp:extent cx="710904" cy="882767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10903" cy="88276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56.0pt;height:69.5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A2F105" w14:textId="77777777" w:rsidR="003A630B" w:rsidRDefault="00000000">
            <w:pPr>
              <w:pStyle w:val="aa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Некоммерческое </w:t>
            </w:r>
          </w:p>
          <w:p w14:paraId="08053BCA" w14:textId="77777777" w:rsidR="003A630B" w:rsidRDefault="00000000">
            <w:pPr>
              <w:pStyle w:val="aa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акционерное общество </w:t>
            </w:r>
          </w:p>
          <w:p w14:paraId="4BD3683C" w14:textId="77777777" w:rsidR="003A630B" w:rsidRDefault="00000000">
            <w:pPr>
              <w:pStyle w:val="aa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Казахский национальный </w:t>
            </w:r>
          </w:p>
          <w:p w14:paraId="085293F3" w14:textId="77777777" w:rsidR="003A630B" w:rsidRDefault="00000000">
            <w:pPr>
              <w:pStyle w:val="aa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медицинский университет </w:t>
            </w:r>
          </w:p>
          <w:p w14:paraId="6302960F" w14:textId="77777777" w:rsidR="003A630B" w:rsidRDefault="00000000">
            <w:pPr>
              <w:pStyle w:val="aa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имени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С.Д.Асфендиярова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»</w:t>
            </w:r>
          </w:p>
        </w:tc>
      </w:tr>
    </w:tbl>
    <w:p w14:paraId="4159D227" w14:textId="77777777" w:rsidR="003A630B" w:rsidRDefault="00000000">
      <w:pPr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5200" distR="115200" simplePos="0" relativeHeight="7168" behindDoc="0" locked="0" layoutInCell="1" allowOverlap="1" wp14:anchorId="68DDE0D2" wp14:editId="2306D07A">
                <wp:simplePos x="0" y="0"/>
                <wp:positionH relativeFrom="column">
                  <wp:posOffset>4875</wp:posOffset>
                </wp:positionH>
                <wp:positionV relativeFrom="paragraph">
                  <wp:posOffset>73742</wp:posOffset>
                </wp:positionV>
                <wp:extent cx="6400800" cy="0"/>
                <wp:effectExtent l="3175" t="3175" r="3175" b="31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" o:spid="_x0000_s2" o:spt="20" style="position:absolute;mso-wrap-distance-left:9.1pt;mso-wrap-distance-top:0.0pt;mso-wrap-distance-right:9.1pt;mso-wrap-distance-bottom:0.0pt;z-index:7168;o:allowoverlap:true;o:allowincell:true;mso-position-horizontal-relative:text;margin-left:0.4pt;mso-position-horizontal:absolute;mso-position-vertical-relative:text;margin-top:5.8pt;mso-position-vertical:absolute;width:504.0pt;height:0.0pt;flip:y;" coordsize="100000,100000" path="" filled="f" strokecolor="#000000" strokeweight="1.00pt">
                <v:path textboxrect="0,0,0,0"/>
              </v:shape>
            </w:pict>
          </mc:Fallback>
        </mc:AlternateConten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173"/>
        <w:gridCol w:w="4890"/>
      </w:tblGrid>
      <w:tr w:rsidR="003A630B" w14:paraId="70A2F711" w14:textId="77777777">
        <w:trPr>
          <w:trHeight w:val="319"/>
        </w:trPr>
        <w:tc>
          <w:tcPr>
            <w:tcW w:w="51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DDFFA36" w14:textId="77777777" w:rsidR="003A630B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>БҰЙРЫҚ</w:t>
            </w:r>
          </w:p>
        </w:tc>
        <w:tc>
          <w:tcPr>
            <w:tcW w:w="48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48EAD82" w14:textId="77777777" w:rsidR="003A630B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>ПРИКАЗ</w:t>
            </w:r>
          </w:p>
        </w:tc>
      </w:tr>
      <w:tr w:rsidR="003A630B" w14:paraId="548F751A" w14:textId="77777777">
        <w:trPr>
          <w:trHeight w:val="253"/>
        </w:trPr>
        <w:tc>
          <w:tcPr>
            <w:tcW w:w="517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ED32C6" w14:textId="77777777" w:rsidR="003A630B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t xml:space="preserve">               20.03.2026</w:t>
            </w:r>
          </w:p>
        </w:tc>
        <w:tc>
          <w:tcPr>
            <w:tcW w:w="489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4C1A97A" w14:textId="77777777" w:rsidR="003A630B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                                     № 303</w:t>
            </w:r>
          </w:p>
        </w:tc>
      </w:tr>
      <w:tr w:rsidR="003A630B" w14:paraId="56866688" w14:textId="77777777">
        <w:trPr>
          <w:trHeight w:val="115"/>
        </w:trPr>
        <w:tc>
          <w:tcPr>
            <w:tcW w:w="517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8C40BC" w14:textId="77777777" w:rsidR="003A630B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5200" distR="115200" simplePos="0" relativeHeight="4096" behindDoc="0" locked="0" layoutInCell="1" allowOverlap="1" wp14:anchorId="57789948" wp14:editId="489D4B81">
                      <wp:simplePos x="0" y="0"/>
                      <wp:positionH relativeFrom="column">
                        <wp:posOffset>558505</wp:posOffset>
                      </wp:positionH>
                      <wp:positionV relativeFrom="paragraph">
                        <wp:posOffset>11350</wp:posOffset>
                      </wp:positionV>
                      <wp:extent cx="800100" cy="0"/>
                      <wp:effectExtent l="3175" t="3175" r="3175" b="31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800099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3" o:spid="_x0000_s3" o:spt="20" style="position:absolute;mso-wrap-distance-left:9.1pt;mso-wrap-distance-top:0.0pt;mso-wrap-distance-right:9.1pt;mso-wrap-distance-bottom:0.0pt;z-index:4096;o:allowoverlap:true;o:allowincell:true;mso-position-horizontal-relative:text;margin-left:44.0pt;mso-position-horizontal:absolute;mso-position-vertical-relative:text;margin-top:0.9pt;mso-position-vertical:absolute;width:63.0pt;height:0.0pt;" coordsize="100000,100000" path="" filled="f" strokecolor="#000000" strokeweight="0.50pt">
                      <v:path textboxrect="0,0,0,0"/>
                    </v:shape>
                  </w:pict>
                </mc:Fallback>
              </mc:AlternateContent>
            </w:r>
          </w:p>
        </w:tc>
        <w:tc>
          <w:tcPr>
            <w:tcW w:w="489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9C416B" w14:textId="77777777" w:rsidR="003A630B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0"/>
                <w:lang w:val="ru-RU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5200" distR="115200" simplePos="0" relativeHeight="6144" behindDoc="0" locked="0" layoutInCell="1" allowOverlap="1" wp14:anchorId="5566605D" wp14:editId="538BBB15">
                      <wp:simplePos x="0" y="0"/>
                      <wp:positionH relativeFrom="column">
                        <wp:posOffset>1550375</wp:posOffset>
                      </wp:positionH>
                      <wp:positionV relativeFrom="paragraph">
                        <wp:posOffset>11350</wp:posOffset>
                      </wp:positionV>
                      <wp:extent cx="506840" cy="0"/>
                      <wp:effectExtent l="3175" t="3175" r="3175" b="317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506839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4" o:spid="_x0000_s4" o:spt="20" style="position:absolute;mso-wrap-distance-left:9.1pt;mso-wrap-distance-top:0.0pt;mso-wrap-distance-right:9.1pt;mso-wrap-distance-bottom:0.0pt;z-index:6144;o:allowoverlap:true;o:allowincell:true;mso-position-horizontal-relative:text;margin-left:122.1pt;mso-position-horizontal:absolute;mso-position-vertical-relative:text;margin-top:0.9pt;mso-position-vertical:absolute;width:39.9pt;height:0.0pt;flip:y;" coordsize="100000,100000" path="" filled="f" strokecolor="#000000" strokeweight="0.50pt">
                      <v:path textboxrect="0,0,0,0"/>
                    </v:shape>
                  </w:pict>
                </mc:Fallback>
              </mc:AlternateContent>
            </w:r>
          </w:p>
        </w:tc>
      </w:tr>
      <w:tr w:rsidR="003A630B" w14:paraId="116CA61A" w14:textId="77777777">
        <w:trPr>
          <w:trHeight w:val="253"/>
        </w:trPr>
        <w:tc>
          <w:tcPr>
            <w:tcW w:w="517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18663D" w14:textId="77777777" w:rsidR="003A630B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Алматы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қаласы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  </w:t>
            </w:r>
          </w:p>
        </w:tc>
        <w:tc>
          <w:tcPr>
            <w:tcW w:w="489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173583" w14:textId="77777777" w:rsidR="003A630B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город Алматы</w:t>
            </w:r>
          </w:p>
        </w:tc>
      </w:tr>
    </w:tbl>
    <w:p w14:paraId="102D002D" w14:textId="77777777" w:rsidR="003A630B" w:rsidRDefault="003A63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</w:rPr>
      </w:pPr>
    </w:p>
    <w:p w14:paraId="296C71D3" w14:textId="77777777" w:rsidR="003A630B" w:rsidRDefault="003A630B">
      <w:pPr>
        <w:spacing w:after="0"/>
      </w:pPr>
    </w:p>
    <w:p w14:paraId="40577D53" w14:textId="77777777" w:rsidR="003A63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Еңбек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қауіпсіздігі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еңбекті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қорғау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жөніндегі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776FB28A" w14:textId="77777777" w:rsidR="003A63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жауапты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адамдарды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тағайындау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туралы</w:t>
      </w:r>
      <w:proofErr w:type="spellEnd"/>
    </w:p>
    <w:p w14:paraId="13214CB9" w14:textId="77777777" w:rsidR="003A63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7F8920F5" w14:textId="77777777" w:rsidR="003A63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4AC24958" w14:textId="77777777" w:rsidR="003A63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Еңбек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кодексінің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179-203-баптарының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талаптарына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сондай-ақ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Жұмыскерлерді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басшылар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еңбек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қауіпсіздігін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еңбекті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қорғауды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қамтамасыз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етуге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жауапты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адамдарды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еңбек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қауіпсіздігі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еңбекті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қорғау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оқытудан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нұсқау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беруден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тексеруден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өткізу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қағидалары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мерзімдерін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бекіту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Денсаулық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әлеуметтік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даму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министрінің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2015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жылғы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25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желтоқсандағы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№ 1019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бұйрығына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«С.Ж.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Асфендияров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атындағы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Қазақ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ұлттық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медицина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университеті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бұдан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Университет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орындарында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қауіпсіз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еңбек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жағдайларын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оқытуды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техника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қауіпсіздігі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қағидаларын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сақтауды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қамтамасыз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мақсатында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БҰЙЫРАМЫН:</w:t>
      </w:r>
    </w:p>
    <w:p w14:paraId="1A849601" w14:textId="77777777" w:rsidR="003A63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Еңбек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қауіпсіздігі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еңбекті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қорғау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жөніндегі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жауапты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адамдарды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тағайындау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» 2022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жылғы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25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қаңтардағы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№ 23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бұйрықтың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күші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жойылды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танылсын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B7B6074" w14:textId="77777777" w:rsidR="003A63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Университеттің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құрылымдық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бөлімшелерінің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басшыларын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орындарындағы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еңбек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қауіпсіздігі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еңбекті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қорғау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жөніндегі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талаптардың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орындалуына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жауапты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тұлғалар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етіп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тағайындалсын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773035E7" w14:textId="77777777" w:rsidR="003A63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орындарындағы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еңбек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қауіпсіздігі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еңбекті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қорғау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жөніндегі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жауапты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тұлғалар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міндетті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0F90D130" w14:textId="77777777" w:rsidR="003A63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қызметкерлерге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жылына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кемінде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қауіпсіздік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техникасы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нұсқаманы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есепке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журналына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отырып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нұсқама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жүргізу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41B5D210" w14:textId="77777777" w:rsidR="003A63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2)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басталар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алдында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қауіпсіздік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техникасын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кіріспе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нұсқама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жүргізу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77488F6B" w14:textId="77777777" w:rsidR="003A63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жоғары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қауіптілікпен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ұштасқан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жұмыстарды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тиеу-түсіру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құрылыс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дәнекерлеу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электр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монтаждау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биіктік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басқа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жұмыстар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орындау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басталғанға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дейін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күнінен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кешіктірмей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еңбекті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қорғау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азаматтық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қорғау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қауіпсіздік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техникасы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өрт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қауіпсіздігі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бөлімін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бұдан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ЕҚ, АҚ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ҚТ, ӨҚ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бөлімі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хабардар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қажет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мақсатты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нұсқаулық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35B2F362" w14:textId="77777777" w:rsidR="003A63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жазатайым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оқиға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жағдайда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оқиға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ЕҚ, АҚ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ҚТ, ӨҚ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бөліміне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тікелей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басшысына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дереу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хабарлау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қажет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D2FC5A7" w14:textId="77777777" w:rsidR="003A63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ЕҚ, АҚ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ҚТ, ӨҚ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бөлімінің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басшысы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еңбек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қауіпсіздігі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еңбекті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қорғау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жауапты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адамдарды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оқытуды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ұйымдастырсын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1CBE6359" w14:textId="77777777" w:rsidR="003A63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бұйрықтың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орындалуын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бақылауды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өзіме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қалдырамын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EF61257" w14:textId="77777777" w:rsidR="003A630B" w:rsidRDefault="003A63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/>
        <w:jc w:val="both"/>
      </w:pPr>
    </w:p>
    <w:p w14:paraId="512A789C" w14:textId="77777777" w:rsidR="003A630B" w:rsidRDefault="003A63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/>
        <w:jc w:val="both"/>
      </w:pPr>
    </w:p>
    <w:p w14:paraId="6561CCD0" w14:textId="77777777" w:rsidR="003A63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Басқарушы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директор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                                                                      М.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Жумадилов</w:t>
      </w:r>
      <w:proofErr w:type="spellEnd"/>
    </w:p>
    <w:sectPr w:rsidR="003A63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134" w:header="709" w:footer="45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E1BCD" w14:textId="77777777" w:rsidR="0028623C" w:rsidRDefault="0028623C">
      <w:pPr>
        <w:spacing w:after="0" w:line="240" w:lineRule="auto"/>
      </w:pPr>
      <w:r>
        <w:separator/>
      </w:r>
    </w:p>
  </w:endnote>
  <w:endnote w:type="continuationSeparator" w:id="0">
    <w:p w14:paraId="319DDCF4" w14:textId="77777777" w:rsidR="0028623C" w:rsidRDefault="0028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BCCA7" w14:textId="77777777" w:rsidR="003A630B" w:rsidRDefault="003A63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E0F00" w14:textId="77777777" w:rsidR="003A630B" w:rsidRDefault="00000000">
    <w:pPr>
      <w:spacing w:after="0"/>
    </w:pPr>
    <w:r>
      <w:rPr>
        <w:noProof/>
      </w:rPr>
      <mc:AlternateContent>
        <mc:Choice Requires="wpg">
          <w:drawing>
            <wp:inline distT="0" distB="0" distL="0" distR="0" wp14:anchorId="7E712587" wp14:editId="55B99E4F">
              <wp:extent cx="685800" cy="68580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85800" cy="685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4.0pt;height:54.0pt;" stroked="false">
              <v:path textboxrect="0,0,0,0"/>
              <v:imagedata r:id="rId2" o:title=""/>
            </v:shape>
          </w:pict>
        </mc:Fallback>
      </mc:AlternateContent>
    </w:r>
  </w:p>
  <w:p w14:paraId="16C24247" w14:textId="77777777" w:rsidR="003A630B" w:rsidRDefault="00000000">
    <w:pPr>
      <w:spacing w:after="0"/>
      <w:jc w:val="both"/>
    </w:pPr>
    <w:proofErr w:type="spellStart"/>
    <w:r>
      <w:rPr>
        <w:sz w:val="10"/>
      </w:rPr>
      <w:t>Издатель</w:t>
    </w:r>
    <w:proofErr w:type="spellEnd"/>
    <w:r>
      <w:rPr>
        <w:sz w:val="10"/>
      </w:rPr>
      <w:t xml:space="preserve"> ЭЦП - ҰЛТТЫҚ КУӘЛАНДЫРУШЫ ОРТАЛЫҚ (GOST) 2022, ЖУМАДИЛОВ МУРАТ, </w:t>
    </w:r>
    <w:proofErr w:type="spellStart"/>
    <w:r>
      <w:rPr>
        <w:sz w:val="10"/>
      </w:rPr>
      <w:t>Некоммерческое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акционерное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общество</w:t>
    </w:r>
    <w:proofErr w:type="spellEnd"/>
    <w:r>
      <w:rPr>
        <w:sz w:val="10"/>
      </w:rPr>
      <w:t xml:space="preserve"> "</w:t>
    </w:r>
    <w:proofErr w:type="spellStart"/>
    <w:r>
      <w:rPr>
        <w:sz w:val="10"/>
      </w:rPr>
      <w:t>Казахский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национальный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медицинский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университет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имени</w:t>
    </w:r>
    <w:proofErr w:type="spellEnd"/>
    <w:r>
      <w:rPr>
        <w:sz w:val="10"/>
      </w:rPr>
      <w:t xml:space="preserve"> С. Д. </w:t>
    </w:r>
    <w:proofErr w:type="spellStart"/>
    <w:r>
      <w:rPr>
        <w:sz w:val="10"/>
      </w:rPr>
      <w:t>Асфендиярова</w:t>
    </w:r>
    <w:proofErr w:type="spellEnd"/>
    <w:r>
      <w:rPr>
        <w:sz w:val="10"/>
      </w:rPr>
      <w:t>", BIN181240006407      https://short.kaznmu.kz/eu8d7o</w:t>
    </w:r>
  </w:p>
  <w:p w14:paraId="35755803" w14:textId="77777777" w:rsidR="003A630B" w:rsidRDefault="00000000">
    <w:pPr>
      <w:spacing w:after="0"/>
      <w:jc w:val="both"/>
    </w:pPr>
    <w:proofErr w:type="spellStart"/>
    <w:r>
      <w:rPr>
        <w:sz w:val="10"/>
      </w:rPr>
      <w:t>Электрондық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құжатты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тексеру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үшін</w:t>
    </w:r>
    <w:proofErr w:type="spellEnd"/>
    <w:r>
      <w:rPr>
        <w:sz w:val="10"/>
      </w:rPr>
      <w:t xml:space="preserve">: https://salemoffice.kaznmu.edu.kz/verify </w:t>
    </w:r>
    <w:proofErr w:type="spellStart"/>
    <w:r>
      <w:rPr>
        <w:sz w:val="10"/>
      </w:rPr>
      <w:t>мекен-жайына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өтіп</w:t>
    </w:r>
    <w:proofErr w:type="spellEnd"/>
    <w:r>
      <w:rPr>
        <w:sz w:val="10"/>
      </w:rPr>
      <w:t xml:space="preserve">, </w:t>
    </w:r>
    <w:proofErr w:type="spellStart"/>
    <w:r>
      <w:rPr>
        <w:sz w:val="10"/>
      </w:rPr>
      <w:t>қажетті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жолдарды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толтырыңыз</w:t>
    </w:r>
    <w:proofErr w:type="spellEnd"/>
    <w:r>
      <w:rPr>
        <w:sz w:val="10"/>
      </w:rPr>
      <w:t xml:space="preserve">. </w:t>
    </w:r>
    <w:proofErr w:type="spellStart"/>
    <w:r>
      <w:rPr>
        <w:sz w:val="10"/>
      </w:rPr>
      <w:t>Электрондық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құжаттың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көшірмесін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тексеру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үшін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қысқа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сілтемеге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өтіңіз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немесе</w:t>
    </w:r>
    <w:proofErr w:type="spellEnd"/>
    <w:r>
      <w:rPr>
        <w:sz w:val="10"/>
      </w:rPr>
      <w:t xml:space="preserve"> QR </w:t>
    </w:r>
    <w:proofErr w:type="spellStart"/>
    <w:r>
      <w:rPr>
        <w:sz w:val="10"/>
      </w:rPr>
      <w:t>код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арқылы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оқыңыз</w:t>
    </w:r>
    <w:proofErr w:type="spellEnd"/>
    <w:r>
      <w:rPr>
        <w:sz w:val="10"/>
      </w:rPr>
      <w:t xml:space="preserve">. </w:t>
    </w:r>
    <w:proofErr w:type="spellStart"/>
    <w:r>
      <w:rPr>
        <w:sz w:val="10"/>
      </w:rPr>
      <w:t>Бұл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құжат</w:t>
    </w:r>
    <w:proofErr w:type="spellEnd"/>
    <w:r>
      <w:rPr>
        <w:sz w:val="10"/>
      </w:rPr>
      <w:t>, «</w:t>
    </w:r>
    <w:proofErr w:type="spellStart"/>
    <w:r>
      <w:rPr>
        <w:sz w:val="10"/>
      </w:rPr>
      <w:t>Электрондық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құжат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және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электрондық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цифрлық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қолтаңба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туралы</w:t>
    </w:r>
    <w:proofErr w:type="spellEnd"/>
    <w:r>
      <w:rPr>
        <w:sz w:val="10"/>
      </w:rPr>
      <w:t xml:space="preserve">» </w:t>
    </w:r>
    <w:proofErr w:type="spellStart"/>
    <w:r>
      <w:rPr>
        <w:sz w:val="10"/>
      </w:rPr>
      <w:t>Қазақстан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Республикасының</w:t>
    </w:r>
    <w:proofErr w:type="spellEnd"/>
    <w:r>
      <w:rPr>
        <w:sz w:val="10"/>
      </w:rPr>
      <w:t xml:space="preserve"> 2003 </w:t>
    </w:r>
    <w:proofErr w:type="spellStart"/>
    <w:r>
      <w:rPr>
        <w:sz w:val="10"/>
      </w:rPr>
      <w:t>жылғы</w:t>
    </w:r>
    <w:proofErr w:type="spellEnd"/>
    <w:r>
      <w:rPr>
        <w:sz w:val="10"/>
      </w:rPr>
      <w:t xml:space="preserve"> 7 </w:t>
    </w:r>
    <w:proofErr w:type="spellStart"/>
    <w:r>
      <w:rPr>
        <w:sz w:val="10"/>
      </w:rPr>
      <w:t>қаңтарда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шыққан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Заңының</w:t>
    </w:r>
    <w:proofErr w:type="spellEnd"/>
    <w:r>
      <w:rPr>
        <w:sz w:val="10"/>
      </w:rPr>
      <w:t xml:space="preserve"> 7-бабының 1-тармағына </w:t>
    </w:r>
    <w:proofErr w:type="spellStart"/>
    <w:r>
      <w:rPr>
        <w:sz w:val="10"/>
      </w:rPr>
      <w:t>сәйкес</w:t>
    </w:r>
    <w:proofErr w:type="spellEnd"/>
    <w:r>
      <w:rPr>
        <w:sz w:val="10"/>
      </w:rPr>
      <w:t xml:space="preserve">, </w:t>
    </w:r>
    <w:proofErr w:type="spellStart"/>
    <w:r>
      <w:rPr>
        <w:sz w:val="10"/>
      </w:rPr>
      <w:t>қағаз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құжатпен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тең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дәрежелі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болып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табылады</w:t>
    </w:r>
    <w:proofErr w:type="spellEnd"/>
    <w:r>
      <w:rPr>
        <w:sz w:val="10"/>
      </w:rPr>
      <w:t xml:space="preserve">. / </w:t>
    </w:r>
    <w:proofErr w:type="spellStart"/>
    <w:r>
      <w:rPr>
        <w:sz w:val="10"/>
      </w:rPr>
      <w:t>Для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проверки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электронного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документа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перейдите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по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адресу</w:t>
    </w:r>
    <w:proofErr w:type="spellEnd"/>
    <w:r>
      <w:rPr>
        <w:sz w:val="10"/>
      </w:rPr>
      <w:t xml:space="preserve">: https://salemoffice.kaznmu.edu.kz/verify и </w:t>
    </w:r>
    <w:proofErr w:type="spellStart"/>
    <w:r>
      <w:rPr>
        <w:sz w:val="10"/>
      </w:rPr>
      <w:t>заполните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необходимые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поля</w:t>
    </w:r>
    <w:proofErr w:type="spellEnd"/>
    <w:r>
      <w:rPr>
        <w:sz w:val="10"/>
      </w:rPr>
      <w:t xml:space="preserve">. </w:t>
    </w:r>
    <w:proofErr w:type="spellStart"/>
    <w:r>
      <w:rPr>
        <w:sz w:val="10"/>
      </w:rPr>
      <w:t>Для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проверки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копии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электронного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документа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перейдите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по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короткой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ссылке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или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считайте</w:t>
    </w:r>
    <w:proofErr w:type="spellEnd"/>
    <w:r>
      <w:rPr>
        <w:sz w:val="10"/>
      </w:rPr>
      <w:t xml:space="preserve"> QR </w:t>
    </w:r>
    <w:proofErr w:type="spellStart"/>
    <w:r>
      <w:rPr>
        <w:sz w:val="10"/>
      </w:rPr>
      <w:t>код</w:t>
    </w:r>
    <w:proofErr w:type="spellEnd"/>
    <w:r>
      <w:rPr>
        <w:sz w:val="10"/>
      </w:rPr>
      <w:t xml:space="preserve">. </w:t>
    </w:r>
    <w:proofErr w:type="spellStart"/>
    <w:r>
      <w:rPr>
        <w:sz w:val="10"/>
      </w:rPr>
      <w:t>Данный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документ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согласно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пункту</w:t>
    </w:r>
    <w:proofErr w:type="spellEnd"/>
    <w:r>
      <w:rPr>
        <w:sz w:val="10"/>
      </w:rPr>
      <w:t xml:space="preserve"> 1 </w:t>
    </w:r>
    <w:proofErr w:type="spellStart"/>
    <w:r>
      <w:rPr>
        <w:sz w:val="10"/>
      </w:rPr>
      <w:t>статьи</w:t>
    </w:r>
    <w:proofErr w:type="spellEnd"/>
    <w:r>
      <w:rPr>
        <w:sz w:val="10"/>
      </w:rPr>
      <w:t xml:space="preserve"> 7 ЗРК </w:t>
    </w:r>
    <w:proofErr w:type="spellStart"/>
    <w:r>
      <w:rPr>
        <w:sz w:val="10"/>
      </w:rPr>
      <w:t>от</w:t>
    </w:r>
    <w:proofErr w:type="spellEnd"/>
    <w:r>
      <w:rPr>
        <w:sz w:val="10"/>
      </w:rPr>
      <w:t xml:space="preserve"> 7 </w:t>
    </w:r>
    <w:proofErr w:type="spellStart"/>
    <w:r>
      <w:rPr>
        <w:sz w:val="10"/>
      </w:rPr>
      <w:t>января</w:t>
    </w:r>
    <w:proofErr w:type="spellEnd"/>
    <w:r>
      <w:rPr>
        <w:sz w:val="10"/>
      </w:rPr>
      <w:t xml:space="preserve"> 2003 </w:t>
    </w:r>
    <w:proofErr w:type="spellStart"/>
    <w:r>
      <w:rPr>
        <w:sz w:val="10"/>
      </w:rPr>
      <w:t>года</w:t>
    </w:r>
    <w:proofErr w:type="spellEnd"/>
    <w:r>
      <w:rPr>
        <w:sz w:val="10"/>
      </w:rPr>
      <w:t xml:space="preserve"> «</w:t>
    </w:r>
    <w:proofErr w:type="spellStart"/>
    <w:r>
      <w:rPr>
        <w:sz w:val="10"/>
      </w:rPr>
      <w:t>Об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электронном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документе</w:t>
    </w:r>
    <w:proofErr w:type="spellEnd"/>
    <w:r>
      <w:rPr>
        <w:sz w:val="10"/>
      </w:rPr>
      <w:t xml:space="preserve"> и </w:t>
    </w:r>
    <w:proofErr w:type="spellStart"/>
    <w:r>
      <w:rPr>
        <w:sz w:val="10"/>
      </w:rPr>
      <w:t>электронной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цифровой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подписи</w:t>
    </w:r>
    <w:proofErr w:type="spellEnd"/>
    <w:r>
      <w:rPr>
        <w:sz w:val="10"/>
      </w:rPr>
      <w:t xml:space="preserve">» </w:t>
    </w:r>
    <w:proofErr w:type="spellStart"/>
    <w:r>
      <w:rPr>
        <w:sz w:val="10"/>
      </w:rPr>
      <w:t>равнозначен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документу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на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бумажном</w:t>
    </w:r>
    <w:proofErr w:type="spellEnd"/>
    <w:r>
      <w:rPr>
        <w:sz w:val="10"/>
      </w:rPr>
      <w:t xml:space="preserve"> </w:t>
    </w:r>
    <w:proofErr w:type="spellStart"/>
    <w:r>
      <w:rPr>
        <w:sz w:val="10"/>
      </w:rPr>
      <w:t>носителе</w:t>
    </w:r>
    <w:proofErr w:type="spellEnd"/>
    <w:r>
      <w:rPr>
        <w:sz w:val="10"/>
      </w:rPr>
      <w:t>.</w:t>
    </w:r>
  </w:p>
  <w:p w14:paraId="71BE4A19" w14:textId="77777777" w:rsidR="003A630B" w:rsidRDefault="003A630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CD5B" w14:textId="77777777" w:rsidR="003A630B" w:rsidRDefault="003A630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31D3A" w14:textId="77777777" w:rsidR="0028623C" w:rsidRDefault="0028623C">
      <w:pPr>
        <w:spacing w:after="0" w:line="240" w:lineRule="auto"/>
      </w:pPr>
      <w:r>
        <w:separator/>
      </w:r>
    </w:p>
  </w:footnote>
  <w:footnote w:type="continuationSeparator" w:id="0">
    <w:p w14:paraId="6428AA8F" w14:textId="77777777" w:rsidR="0028623C" w:rsidRDefault="00286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29C8" w14:textId="77777777" w:rsidR="003A630B" w:rsidRDefault="003A630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53D6" w14:textId="77777777" w:rsidR="003A630B" w:rsidRDefault="003A630B">
    <w:pPr>
      <w:pStyle w:val="aa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EC45" w14:textId="77777777" w:rsidR="003A630B" w:rsidRDefault="003A630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30B"/>
    <w:rsid w:val="0028623C"/>
    <w:rsid w:val="003A630B"/>
    <w:rsid w:val="00596DE4"/>
    <w:rsid w:val="0086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3D8B"/>
  <w15:docId w15:val="{D82E74AD-1E65-4A3C-A974-E2E1A714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Ербол Джамалов</cp:lastModifiedBy>
  <cp:revision>36</cp:revision>
  <cp:lastPrinted>2026-04-07T12:10:00Z</cp:lastPrinted>
  <dcterms:created xsi:type="dcterms:W3CDTF">2026-04-07T12:10:00Z</dcterms:created>
  <dcterms:modified xsi:type="dcterms:W3CDTF">2026-04-07T12:12:00Z</dcterms:modified>
</cp:coreProperties>
</file>